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621" w:rsidRPr="00524C62" w:rsidRDefault="00387789" w:rsidP="00D06B17">
      <w:pPr>
        <w:jc w:val="center"/>
        <w:rPr>
          <w:sz w:val="24"/>
          <w:szCs w:val="24"/>
        </w:rPr>
      </w:pPr>
      <w:r w:rsidRPr="006368BE">
        <w:rPr>
          <w:b/>
          <w:sz w:val="28"/>
          <w:szCs w:val="24"/>
        </w:rPr>
        <w:t xml:space="preserve">Valuation of </w:t>
      </w:r>
      <w:r w:rsidR="006368BE" w:rsidRPr="006368BE">
        <w:rPr>
          <w:b/>
          <w:sz w:val="28"/>
          <w:szCs w:val="24"/>
        </w:rPr>
        <w:t>CMO Securities</w:t>
      </w:r>
    </w:p>
    <w:p w:rsidR="00524C62" w:rsidRDefault="00524C62" w:rsidP="006C0DA8">
      <w:pPr>
        <w:rPr>
          <w:b/>
        </w:rPr>
      </w:pPr>
    </w:p>
    <w:p w:rsidR="00524C62" w:rsidRPr="00524C62" w:rsidRDefault="00524C62" w:rsidP="006368BE">
      <w:pPr>
        <w:pStyle w:val="Heading1"/>
      </w:pPr>
      <w:r w:rsidRPr="00524C62">
        <w:t>Introduction</w:t>
      </w:r>
    </w:p>
    <w:p w:rsidR="002F0304" w:rsidRPr="002F0304" w:rsidRDefault="002F0304" w:rsidP="002F0304">
      <w:pPr>
        <w:rPr>
          <w:b/>
          <w:sz w:val="20"/>
          <w:szCs w:val="20"/>
        </w:rPr>
      </w:pPr>
      <w:r w:rsidRPr="001D1B5B">
        <w:t>A collateralized mortgage obligation (CMO) is a type of complex debt security that repackages and directs the payments of principal and interest from a collateral pool of mortgage loans to different types of securities. Legally, a CMO is a debt security issued by a special purpose entity (SPE) (thus it is not considered a debt owed by the institution creating and operating the SPE). The SPE is the legal owner of a set of mortgages, called a pool. Investors in a CMO buy bonds issued by the entity, and they receive payments from the income generated by the mortgages according to a defined set of rules. With regard to terminology, the mortgages themselves are termed collateral, 'classes' refers to groups of mortgages issued to borrowers of roughly similar credit worthiness, tranches are specified fractions or slices, metaphorically speaking, of a pool of mortgages and the income</w:t>
      </w:r>
      <w:r w:rsidR="001D1B5B" w:rsidRPr="001D1B5B">
        <w:t xml:space="preserve"> they produce that are combined </w:t>
      </w:r>
      <w:r w:rsidRPr="001D1B5B">
        <w:t>into an</w:t>
      </w:r>
      <w:r w:rsidR="001D1B5B" w:rsidRPr="001D1B5B">
        <w:t xml:space="preserve"> </w:t>
      </w:r>
      <w:r w:rsidRPr="001D1B5B">
        <w:t>individual security, while the structure is the set of rules that dictates how the income received from the collateral will be distributed. The legal entity, collateral, and structure are collectively referred to as the deal. Unlike traditional mortgage pass-through securities, CMOs feature different payment streams and risks, dep</w:t>
      </w:r>
      <w:r w:rsidR="001D1B5B" w:rsidRPr="001D1B5B">
        <w:t>ending on investor preferences.</w:t>
      </w:r>
      <w:r w:rsidRPr="002F0304">
        <w:rPr>
          <w:b/>
          <w:sz w:val="20"/>
          <w:szCs w:val="20"/>
        </w:rPr>
        <w:tab/>
      </w:r>
    </w:p>
    <w:p w:rsidR="002F0304" w:rsidRPr="002F0304" w:rsidRDefault="002F0304" w:rsidP="002F0304">
      <w:pPr>
        <w:rPr>
          <w:b/>
          <w:sz w:val="20"/>
          <w:szCs w:val="20"/>
        </w:rPr>
      </w:pPr>
      <w:r w:rsidRPr="002F0304">
        <w:t>CMO securities offer</w:t>
      </w:r>
      <w:r w:rsidR="00A826F4">
        <w:t xml:space="preserve"> the following advantages.</w:t>
      </w:r>
      <w:r w:rsidRPr="002F0304">
        <w:rPr>
          <w:b/>
          <w:sz w:val="20"/>
          <w:szCs w:val="20"/>
        </w:rPr>
        <w:tab/>
      </w:r>
    </w:p>
    <w:p w:rsidR="002F0304" w:rsidRPr="002F0304" w:rsidRDefault="002F0304" w:rsidP="00A826F4">
      <w:pPr>
        <w:pStyle w:val="ListParagraph"/>
        <w:numPr>
          <w:ilvl w:val="0"/>
          <w:numId w:val="12"/>
        </w:numPr>
      </w:pPr>
      <w:r w:rsidRPr="002F0304">
        <w:t>An average mortgage loan amount (say US$ 300,000) is quite material</w:t>
      </w:r>
      <w:r w:rsidR="00A826F4">
        <w:t xml:space="preserve"> </w:t>
      </w:r>
      <w:r w:rsidRPr="002F0304">
        <w:t>for an average investor. Issue of bonds collateralized by mortgage loans allows</w:t>
      </w:r>
      <w:r w:rsidR="00A826F4">
        <w:t xml:space="preserve"> </w:t>
      </w:r>
      <w:r w:rsidRPr="002F0304">
        <w:t xml:space="preserve">to set flexible principal amount on each bond. For example a US$ 300,000 </w:t>
      </w:r>
      <w:r w:rsidRPr="002F0304">
        <w:tab/>
        <w:t>mortgage loan can be split into 300 bonds with US 1,000 principal amount</w:t>
      </w:r>
      <w:r w:rsidR="00A826F4">
        <w:t>.</w:t>
      </w:r>
    </w:p>
    <w:p w:rsidR="002F0304" w:rsidRPr="00BD33C9" w:rsidRDefault="002F0304" w:rsidP="00A826F4">
      <w:pPr>
        <w:pStyle w:val="ListParagraph"/>
        <w:numPr>
          <w:ilvl w:val="0"/>
          <w:numId w:val="12"/>
        </w:numPr>
      </w:pPr>
      <w:r w:rsidRPr="00BD33C9">
        <w:t>Mortgage loans are long-term (they typically have a 30-year maturity term). Investors typically prefer not to lock their funds on such a long period. CMO instruments are traded publicly and therefore allow investors to sell the bonds</w:t>
      </w:r>
      <w:r w:rsidR="00A826F4" w:rsidRPr="00BD33C9">
        <w:t xml:space="preserve"> </w:t>
      </w:r>
      <w:r w:rsidRPr="00BD33C9">
        <w:t xml:space="preserve">at any time. </w:t>
      </w:r>
    </w:p>
    <w:p w:rsidR="002F0304" w:rsidRPr="00BD33C9" w:rsidRDefault="002F0304" w:rsidP="003D7FE9">
      <w:pPr>
        <w:pStyle w:val="ListParagraph"/>
        <w:numPr>
          <w:ilvl w:val="0"/>
          <w:numId w:val="12"/>
        </w:numPr>
        <w:rPr>
          <w:sz w:val="20"/>
          <w:szCs w:val="20"/>
        </w:rPr>
      </w:pPr>
      <w:r w:rsidRPr="00BD33C9">
        <w:t>Securities issued in a CMO deal typically have a flexible structure so that investors with different risk / return preferences can buy the securities</w:t>
      </w:r>
      <w:r w:rsidR="00A826F4" w:rsidRPr="00BD33C9">
        <w:t>.</w:t>
      </w:r>
      <w:r w:rsidRPr="00BD33C9">
        <w:rPr>
          <w:sz w:val="20"/>
          <w:szCs w:val="20"/>
        </w:rPr>
        <w:tab/>
      </w:r>
    </w:p>
    <w:p w:rsidR="002F0304" w:rsidRPr="00BD33C9" w:rsidRDefault="002F0304" w:rsidP="003D7FE9">
      <w:pPr>
        <w:pStyle w:val="ListParagraph"/>
        <w:numPr>
          <w:ilvl w:val="0"/>
          <w:numId w:val="12"/>
        </w:numPr>
        <w:rPr>
          <w:b/>
          <w:sz w:val="20"/>
          <w:szCs w:val="20"/>
        </w:rPr>
      </w:pPr>
      <w:r w:rsidRPr="00BD33C9">
        <w:t>Default risk s diversified in a pool of mortgage loans. Traditionally the CMO securities were viewed as having very good creditworthiness. However the market</w:t>
      </w:r>
      <w:r w:rsidR="00A826F4" w:rsidRPr="00BD33C9">
        <w:t xml:space="preserve"> </w:t>
      </w:r>
      <w:r w:rsidRPr="00BD33C9">
        <w:t xml:space="preserve">crash in 2008-2009 showed that defaults in a mortgage loan pool can be strongly correlated and collateral value of the houses can decrease significantly during the </w:t>
      </w:r>
      <w:r w:rsidR="00A826F4" w:rsidRPr="00BD33C9">
        <w:t>crisis. The c</w:t>
      </w:r>
      <w:r w:rsidRPr="00BD33C9">
        <w:t>r</w:t>
      </w:r>
      <w:r w:rsidR="00A826F4" w:rsidRPr="00BD33C9">
        <w:t>e</w:t>
      </w:r>
      <w:r w:rsidRPr="00BD33C9">
        <w:t>dit rating on many CMO securities was downgraded from AA to CCC within</w:t>
      </w:r>
      <w:r w:rsidR="00A826F4" w:rsidRPr="00BD33C9">
        <w:t xml:space="preserve"> </w:t>
      </w:r>
      <w:r w:rsidRPr="00BD33C9">
        <w:t>a few month period during the market crash. Therefore potentially investment into</w:t>
      </w:r>
      <w:r w:rsidR="00A826F4" w:rsidRPr="00BD33C9">
        <w:t xml:space="preserve"> </w:t>
      </w:r>
      <w:r w:rsidRPr="00BD33C9">
        <w:t>CMO securities</w:t>
      </w:r>
      <w:r w:rsidRPr="002F0304">
        <w:t xml:space="preserve"> can be highly risky</w:t>
      </w:r>
      <w:r w:rsidR="00A826F4">
        <w:t>.</w:t>
      </w:r>
      <w:r w:rsidRPr="00BD33C9">
        <w:rPr>
          <w:b/>
          <w:sz w:val="20"/>
          <w:szCs w:val="20"/>
        </w:rPr>
        <w:tab/>
      </w:r>
    </w:p>
    <w:p w:rsidR="002F0304" w:rsidRPr="002F0304" w:rsidRDefault="00A826F4" w:rsidP="002F0304">
      <w:pPr>
        <w:rPr>
          <w:b/>
          <w:sz w:val="20"/>
          <w:szCs w:val="20"/>
        </w:rPr>
      </w:pPr>
      <w:r>
        <w:t>The majo</w:t>
      </w:r>
      <w:r w:rsidR="002F0304" w:rsidRPr="002F0304">
        <w:t>r risks associated w</w:t>
      </w:r>
      <w:r>
        <w:t>i</w:t>
      </w:r>
      <w:r w:rsidR="002F0304" w:rsidRPr="002F0304">
        <w:t>th the CMO secu</w:t>
      </w:r>
      <w:r>
        <w:t>rities are the following:</w:t>
      </w:r>
      <w:r w:rsidR="002F0304" w:rsidRPr="002F0304">
        <w:rPr>
          <w:b/>
          <w:sz w:val="20"/>
          <w:szCs w:val="20"/>
        </w:rPr>
        <w:tab/>
      </w:r>
    </w:p>
    <w:p w:rsidR="002F0304" w:rsidRPr="002F0304" w:rsidRDefault="00A826F4" w:rsidP="00A826F4">
      <w:pPr>
        <w:pStyle w:val="ListParagraph"/>
        <w:numPr>
          <w:ilvl w:val="0"/>
          <w:numId w:val="11"/>
        </w:numPr>
      </w:pPr>
      <w:r>
        <w:t>Default risk</w:t>
      </w:r>
      <w:r w:rsidR="002F0304" w:rsidRPr="002F0304">
        <w:t>. House buyers default on their mortgages. After the default, the houses go into foreclosure and may often be sold at the price that is lower than the mortgage loan outstandin</w:t>
      </w:r>
      <w:r>
        <w:t>g principal balances.</w:t>
      </w:r>
    </w:p>
    <w:p w:rsidR="00A826F4" w:rsidRPr="002F0304" w:rsidRDefault="002F0304" w:rsidP="00A826F4">
      <w:pPr>
        <w:pStyle w:val="ListParagraph"/>
        <w:numPr>
          <w:ilvl w:val="0"/>
          <w:numId w:val="11"/>
        </w:numPr>
      </w:pPr>
      <w:r w:rsidRPr="002F0304">
        <w:t>Prepayment (refinancing) risk&lt;/b&gt;. Mortgage loans are amortized over the</w:t>
      </w:r>
      <w:r w:rsidR="00A826F4">
        <w:t xml:space="preserve"> </w:t>
      </w:r>
      <w:r w:rsidRPr="002F0304">
        <w:t>30-year maturity term. Moreover the loans can be prepaid without penalty partially</w:t>
      </w:r>
      <w:r w:rsidR="00A826F4">
        <w:t xml:space="preserve"> </w:t>
      </w:r>
      <w:r w:rsidRPr="002F0304">
        <w:t xml:space="preserve">or in whole at any time. The </w:t>
      </w:r>
      <w:r w:rsidRPr="002F0304">
        <w:lastRenderedPageBreak/>
        <w:t>mortgage loans are often prepaid when the mortgage market rates</w:t>
      </w:r>
      <w:r w:rsidR="00A826F4">
        <w:t xml:space="preserve"> </w:t>
      </w:r>
      <w:r w:rsidRPr="002F0304">
        <w:t>go down so that the mortgage can be refinanced at a lower rate. The risk is called the interest rate risk (or refinancing risk). Effectively the investment horizon in the CMO securities is less</w:t>
      </w:r>
      <w:r w:rsidR="00A826F4">
        <w:t xml:space="preserve"> </w:t>
      </w:r>
      <w:r w:rsidRPr="002F0304">
        <w:t>than 30-years. The prepayment risk must be reflected as the yield premium or</w:t>
      </w:r>
      <w:r w:rsidR="00A826F4">
        <w:t xml:space="preserve"> </w:t>
      </w:r>
      <w:r w:rsidRPr="002F0304">
        <w:t xml:space="preserve">price discount of the CMO security. </w:t>
      </w:r>
    </w:p>
    <w:p w:rsidR="002F0304" w:rsidRDefault="002F0304" w:rsidP="00A826F4">
      <w:r w:rsidRPr="002F0304">
        <w:t>To address the above risks, the CMO deal structure specifies loss and principal</w:t>
      </w:r>
      <w:r w:rsidR="00A826F4">
        <w:t xml:space="preserve"> </w:t>
      </w:r>
      <w:r w:rsidRPr="002F0304">
        <w:t>allocation rules so that different securities within the CMO deal are protected</w:t>
      </w:r>
      <w:r w:rsidR="00A826F4">
        <w:t xml:space="preserve"> </w:t>
      </w:r>
      <w:r w:rsidRPr="002F0304">
        <w:t>differently against the default and prepayment risks.</w:t>
      </w:r>
      <w:r w:rsidRPr="002F0304">
        <w:tab/>
      </w:r>
    </w:p>
    <w:p w:rsidR="00B408D6" w:rsidRPr="002F0304" w:rsidRDefault="00B408D6" w:rsidP="00B408D6">
      <w:pPr>
        <w:pStyle w:val="Heading1"/>
      </w:pPr>
      <w:r>
        <w:t>CMO Deal Structure</w:t>
      </w:r>
    </w:p>
    <w:p w:rsidR="002F0304" w:rsidRPr="002F0304" w:rsidRDefault="002F0304" w:rsidP="00550075">
      <w:pPr>
        <w:pStyle w:val="Heading2"/>
        <w:rPr>
          <w:sz w:val="20"/>
        </w:rPr>
      </w:pPr>
      <w:r w:rsidRPr="00A826F4">
        <w:t xml:space="preserve">Loss </w:t>
      </w:r>
      <w:r w:rsidR="00A826F4" w:rsidRPr="00A826F4">
        <w:t>Allocation Rules</w:t>
      </w:r>
      <w:r w:rsidRPr="002F0304">
        <w:rPr>
          <w:sz w:val="20"/>
        </w:rPr>
        <w:tab/>
      </w:r>
    </w:p>
    <w:p w:rsidR="002F0304" w:rsidRPr="002F0304" w:rsidRDefault="002F0304" w:rsidP="002F0304">
      <w:pPr>
        <w:rPr>
          <w:b/>
          <w:sz w:val="20"/>
          <w:szCs w:val="20"/>
        </w:rPr>
      </w:pPr>
      <w:r w:rsidRPr="002F0304">
        <w:t>Support against default risk is perform</w:t>
      </w:r>
      <w:r w:rsidR="00A826F4">
        <w:t xml:space="preserve">ed using </w:t>
      </w:r>
      <w:r w:rsidR="00A826F4" w:rsidRPr="00A826F4">
        <w:rPr>
          <w:b/>
        </w:rPr>
        <w:t>credit tranching</w:t>
      </w:r>
      <w:r w:rsidRPr="002F0304">
        <w:t>, which is one of the forms of security credit protection. In the simplest case, credit tranching means that any credit losses will be absorbed by the most junior class of bondholders until the principal value of their investment reaches zero. If this occurs, the next class of bonds absorb credit losses, and so forth, until finally the senior bonds begin to experience losses. The subordinated (junior) securities are typically</w:t>
      </w:r>
      <w:r w:rsidR="00A826F4">
        <w:t xml:space="preserve"> labelled with letter B, mezzan</w:t>
      </w:r>
      <w:r w:rsidRPr="002F0304">
        <w:t>ine securities are labelled with letter M, and senior securities are labelled with letter A.</w:t>
      </w:r>
      <w:r w:rsidR="00A826F4">
        <w:t xml:space="preserve"> </w:t>
      </w:r>
      <w:r w:rsidRPr="002F0304">
        <w:t>Additional credit protection can be added between senior securities and in some</w:t>
      </w:r>
      <w:r w:rsidR="00A826F4">
        <w:t xml:space="preserve"> </w:t>
      </w:r>
      <w:r w:rsidRPr="002F0304">
        <w:t xml:space="preserve">cases between different classes of securities. </w:t>
      </w:r>
      <w:r w:rsidRPr="002F0304">
        <w:rPr>
          <w:b/>
          <w:sz w:val="20"/>
          <w:szCs w:val="20"/>
        </w:rPr>
        <w:tab/>
      </w:r>
    </w:p>
    <w:p w:rsidR="002F0304" w:rsidRPr="002F0304" w:rsidRDefault="002F0304" w:rsidP="002F0304">
      <w:pPr>
        <w:rPr>
          <w:b/>
          <w:sz w:val="20"/>
          <w:szCs w:val="20"/>
        </w:rPr>
      </w:pPr>
      <w:r w:rsidRPr="002F0304">
        <w:t>In general the structure of credit protection is a</w:t>
      </w:r>
      <w:r w:rsidR="00A826F4">
        <w:t xml:space="preserve"> combination of two rules:</w:t>
      </w:r>
      <w:r w:rsidRPr="002F0304">
        <w:rPr>
          <w:b/>
          <w:sz w:val="20"/>
          <w:szCs w:val="20"/>
        </w:rPr>
        <w:tab/>
      </w:r>
    </w:p>
    <w:p w:rsidR="002F0304" w:rsidRPr="00A826F4" w:rsidRDefault="00A826F4" w:rsidP="00A826F4">
      <w:pPr>
        <w:pStyle w:val="ListParagraph"/>
        <w:numPr>
          <w:ilvl w:val="0"/>
          <w:numId w:val="10"/>
        </w:numPr>
      </w:pPr>
      <w:r w:rsidRPr="00A826F4">
        <w:rPr>
          <w:b/>
        </w:rPr>
        <w:t>Hierarchical structure</w:t>
      </w:r>
      <w:r w:rsidR="002F0304" w:rsidRPr="00A826F4">
        <w:t>, which specifies subordination between CMO securities with respect to allocation of recognized losses from the defaults on</w:t>
      </w:r>
      <w:r w:rsidRPr="00A826F4">
        <w:t xml:space="preserve"> </w:t>
      </w:r>
      <w:r w:rsidR="002F0304" w:rsidRPr="00A826F4">
        <w:t>under</w:t>
      </w:r>
      <w:r>
        <w:t>lying mortgage loans;</w:t>
      </w:r>
    </w:p>
    <w:p w:rsidR="002F0304" w:rsidRPr="002F0304" w:rsidRDefault="00A826F4" w:rsidP="00A826F4">
      <w:pPr>
        <w:pStyle w:val="ListParagraph"/>
        <w:numPr>
          <w:ilvl w:val="0"/>
          <w:numId w:val="10"/>
        </w:numPr>
      </w:pPr>
      <w:r w:rsidRPr="00A826F4">
        <w:rPr>
          <w:b/>
        </w:rPr>
        <w:t>Pro-rata structure</w:t>
      </w:r>
      <w:r w:rsidR="002F0304" w:rsidRPr="002F0304">
        <w:t xml:space="preserve">, which assumes equal </w:t>
      </w:r>
      <w:r w:rsidRPr="002F0304">
        <w:t>hierarchical</w:t>
      </w:r>
      <w:r w:rsidR="002F0304" w:rsidRPr="002F0304">
        <w:t xml:space="preserve"> order of the</w:t>
      </w:r>
      <w:r>
        <w:t xml:space="preserve"> </w:t>
      </w:r>
      <w:r w:rsidR="002F0304" w:rsidRPr="002F0304">
        <w:t>securities and allocates recognized losses to different securities proportionally to the securities outstanding balances.</w:t>
      </w:r>
    </w:p>
    <w:p w:rsidR="002F0304" w:rsidRPr="002F0304" w:rsidRDefault="002F0304" w:rsidP="002F0304">
      <w:pPr>
        <w:rPr>
          <w:b/>
          <w:sz w:val="20"/>
          <w:szCs w:val="20"/>
        </w:rPr>
      </w:pPr>
      <w:r w:rsidRPr="002F0304">
        <w:t xml:space="preserve">In a typical CMO deal structure, the </w:t>
      </w:r>
      <w:r w:rsidR="00A826F4" w:rsidRPr="002F0304">
        <w:t>hierarchical</w:t>
      </w:r>
      <w:r w:rsidRPr="002F0304">
        <w:t xml:space="preserve"> loss allocation structure is specified by the junior</w:t>
      </w:r>
      <w:r w:rsidR="00A826F4">
        <w:t xml:space="preserve"> - mezzanine - senior (B-M-A) su</w:t>
      </w:r>
      <w:r w:rsidRPr="002F0304">
        <w:t>bordination structure of securities and</w:t>
      </w:r>
      <w:r w:rsidR="00A826F4">
        <w:t xml:space="preserve"> </w:t>
      </w:r>
      <w:r w:rsidRPr="002F0304">
        <w:t>within the securities labelled with the same letter the losses are allocated on</w:t>
      </w:r>
      <w:r w:rsidR="00A826F4">
        <w:t xml:space="preserve"> </w:t>
      </w:r>
      <w:r w:rsidRPr="002F0304">
        <w:t xml:space="preserve">pro-rata basis. </w:t>
      </w:r>
      <w:r w:rsidRPr="002F0304">
        <w:rPr>
          <w:b/>
          <w:sz w:val="20"/>
          <w:szCs w:val="20"/>
        </w:rPr>
        <w:tab/>
      </w:r>
    </w:p>
    <w:p w:rsidR="002F0304" w:rsidRPr="002F0304" w:rsidRDefault="002F0304" w:rsidP="00550075">
      <w:pPr>
        <w:pStyle w:val="Heading2"/>
        <w:rPr>
          <w:sz w:val="20"/>
        </w:rPr>
      </w:pPr>
      <w:r w:rsidRPr="00A826F4">
        <w:t xml:space="preserve">Principal </w:t>
      </w:r>
      <w:r w:rsidR="00A826F4" w:rsidRPr="00A826F4">
        <w:t>Allocation Rules</w:t>
      </w:r>
      <w:r w:rsidRPr="002F0304">
        <w:rPr>
          <w:sz w:val="20"/>
        </w:rPr>
        <w:tab/>
      </w:r>
    </w:p>
    <w:p w:rsidR="002F0304" w:rsidRPr="002F0304" w:rsidRDefault="002F0304" w:rsidP="00A826F4">
      <w:r w:rsidRPr="002F0304">
        <w:t>If a security is priced at premium on the issue date, then</w:t>
      </w:r>
      <w:r>
        <w:t xml:space="preserve"> </w:t>
      </w:r>
      <w:r w:rsidRPr="002F0304">
        <w:t>the coupon rate on the security exceeds the security yield rate equal to the sum of risk free rate and security risk premium. In the case of early prepayment investor may</w:t>
      </w:r>
      <w:r>
        <w:t xml:space="preserve"> </w:t>
      </w:r>
      <w:r w:rsidRPr="002F0304">
        <w:t>incur losses on the security since investor does n</w:t>
      </w:r>
      <w:r w:rsidR="00A826F4">
        <w:t xml:space="preserve">ot receive the coupon payments, </w:t>
      </w:r>
      <w:r w:rsidRPr="002F0304">
        <w:t>which</w:t>
      </w:r>
      <w:r w:rsidR="00A826F4">
        <w:t xml:space="preserve"> </w:t>
      </w:r>
      <w:r w:rsidRPr="002F0304">
        <w:t>were</w:t>
      </w:r>
      <w:r w:rsidR="00A826F4">
        <w:t xml:space="preserve"> </w:t>
      </w:r>
      <w:r w:rsidRPr="002F0304">
        <w:t>expected when the security price premium was estimated. Therefore early</w:t>
      </w:r>
      <w:r w:rsidR="00A826F4">
        <w:t xml:space="preserve"> </w:t>
      </w:r>
      <w:r w:rsidRPr="002F0304">
        <w:t>prepayment may represent a risk to the investor who expects to receive the return to the investment in the form of coupon payments ov</w:t>
      </w:r>
      <w:r w:rsidR="00A826F4">
        <w:t>er an extended period of time.</w:t>
      </w:r>
      <w:r w:rsidRPr="002F0304">
        <w:tab/>
      </w:r>
    </w:p>
    <w:p w:rsidR="002F0304" w:rsidRPr="002F0304" w:rsidRDefault="002F0304" w:rsidP="002F0304">
      <w:pPr>
        <w:rPr>
          <w:b/>
          <w:sz w:val="20"/>
          <w:szCs w:val="20"/>
        </w:rPr>
      </w:pPr>
      <w:r w:rsidRPr="002F0304">
        <w:t>The principal allocation rules are specified for the CMO deal so that to produce securities</w:t>
      </w:r>
      <w:r w:rsidR="00A826F4">
        <w:t xml:space="preserve"> </w:t>
      </w:r>
      <w:r w:rsidRPr="002F0304">
        <w:t xml:space="preserve">with different effective maturity term and amortization schedule. Investor who </w:t>
      </w:r>
      <w:r w:rsidR="00A826F4">
        <w:t>requires protect</w:t>
      </w:r>
      <w:r w:rsidRPr="002F0304">
        <w:t xml:space="preserve">ion against early </w:t>
      </w:r>
      <w:r w:rsidRPr="002F0304">
        <w:lastRenderedPageBreak/>
        <w:t>principal prepayment can purchase then the</w:t>
      </w:r>
      <w:r w:rsidR="00A826F4">
        <w:t xml:space="preserve"> </w:t>
      </w:r>
      <w:r w:rsidRPr="002F0304">
        <w:t xml:space="preserve">securities in the CMO deal that have an effective maturity term and amortization schedule that satisfies the investor's needs.  </w:t>
      </w:r>
      <w:r w:rsidRPr="002F0304">
        <w:rPr>
          <w:b/>
          <w:sz w:val="20"/>
          <w:szCs w:val="20"/>
        </w:rPr>
        <w:tab/>
      </w:r>
    </w:p>
    <w:p w:rsidR="002F0304" w:rsidRPr="002F0304" w:rsidRDefault="002F0304" w:rsidP="002F0304">
      <w:r w:rsidRPr="002F0304">
        <w:t>In general, the principal allocation rules can be quite complex (and typically are</w:t>
      </w:r>
      <w:r>
        <w:t xml:space="preserve"> </w:t>
      </w:r>
      <w:r w:rsidRPr="002F0304">
        <w:t xml:space="preserve">more complex than the loss allocation rules). Most principal allocation structures can be viewed as a combination of hierarchical structure, pro-rata structure, and </w:t>
      </w:r>
      <w:r w:rsidRPr="002F0304">
        <w:rPr>
          <w:b/>
        </w:rPr>
        <w:t>weight-based structure</w:t>
      </w:r>
      <w:r w:rsidRPr="002F0304">
        <w:t>. The hierarchical and pro-rata structures were described above.</w:t>
      </w:r>
      <w:r>
        <w:t xml:space="preserve"> </w:t>
      </w:r>
      <w:r w:rsidRPr="002F0304">
        <w:t>In the weight-based structure, the principal is allocated to different securities based</w:t>
      </w:r>
      <w:r>
        <w:t xml:space="preserve"> </w:t>
      </w:r>
      <w:r w:rsidRPr="002F0304">
        <w:t>on specific weights that do not depend on the securities outstanding balances. For example, 20% of all repaid principal amount in a given period is allocated to security</w:t>
      </w:r>
      <w:r>
        <w:t xml:space="preserve"> </w:t>
      </w:r>
      <w:r w:rsidRPr="002F0304">
        <w:t xml:space="preserve">A1 and the remaining 80% of repaid principal amount is allocated to other senior tranches on pro-rata basis. </w:t>
      </w:r>
      <w:r w:rsidRPr="002F0304">
        <w:tab/>
      </w:r>
    </w:p>
    <w:p w:rsidR="002F0304" w:rsidRPr="002F0304" w:rsidRDefault="002F0304" w:rsidP="002F0304">
      <w:pPr>
        <w:rPr>
          <w:b/>
          <w:sz w:val="20"/>
          <w:szCs w:val="20"/>
        </w:rPr>
      </w:pPr>
      <w:r w:rsidRPr="002F0304">
        <w:t>Many CMO deals s</w:t>
      </w:r>
      <w:r>
        <w:t>pecify a "</w:t>
      </w:r>
      <w:r w:rsidRPr="002F0304">
        <w:rPr>
          <w:b/>
        </w:rPr>
        <w:t>crossover</w:t>
      </w:r>
      <w:r>
        <w:t xml:space="preserve">" date or </w:t>
      </w:r>
      <w:r w:rsidRPr="002F0304">
        <w:t>"</w:t>
      </w:r>
      <w:r w:rsidRPr="002F0304">
        <w:rPr>
          <w:b/>
        </w:rPr>
        <w:t>senior credit support depletion</w:t>
      </w:r>
      <w:r>
        <w:t xml:space="preserve">" </w:t>
      </w:r>
      <w:r w:rsidRPr="002F0304">
        <w:t>date, which is defined as the date when the balances of all junior and mezzanine securities are reduced to zero. The principal allocation rule for these CMO deals</w:t>
      </w:r>
      <w:r>
        <w:t xml:space="preserve"> </w:t>
      </w:r>
      <w:r w:rsidRPr="002F0304">
        <w:t>typically switches from original complex rules to a simple pro-rata allocation rule,</w:t>
      </w:r>
      <w:r>
        <w:t xml:space="preserve"> </w:t>
      </w:r>
      <w:r w:rsidRPr="002F0304">
        <w:t>which applies to all remaining senior securities in the deal. We call the pro-rata</w:t>
      </w:r>
      <w:r>
        <w:t xml:space="preserve"> </w:t>
      </w:r>
      <w:r w:rsidRPr="002F0304">
        <w:t>rule a "simple" rule since it allows to analyze each senior security independently</w:t>
      </w:r>
      <w:r>
        <w:t xml:space="preserve"> </w:t>
      </w:r>
      <w:r w:rsidRPr="002F0304">
        <w:t>from all other securities in the deal. The principal prepayment rate, which was estimated for the whole deal based on total deal securities balances and total prepaid balances</w:t>
      </w:r>
      <w:r>
        <w:t xml:space="preserve"> </w:t>
      </w:r>
      <w:r w:rsidRPr="002F0304">
        <w:t>in each period, applies to each individual security if the prepaid principal is</w:t>
      </w:r>
      <w:r>
        <w:t xml:space="preserve"> </w:t>
      </w:r>
      <w:r w:rsidRPr="002F0304">
        <w:t xml:space="preserve">allocated on pro-rata basis. </w:t>
      </w:r>
      <w:r w:rsidRPr="002F0304">
        <w:rPr>
          <w:b/>
          <w:sz w:val="20"/>
          <w:szCs w:val="20"/>
        </w:rPr>
        <w:tab/>
      </w:r>
    </w:p>
    <w:p w:rsidR="002F0304" w:rsidRPr="002F0304" w:rsidRDefault="002F0304" w:rsidP="009959AE">
      <w:pPr>
        <w:pStyle w:val="Heading2"/>
      </w:pPr>
      <w:r w:rsidRPr="002F0304">
        <w:t>Modelling Losses and Principal Allocation Rules</w:t>
      </w:r>
    </w:p>
    <w:p w:rsidR="002F0304" w:rsidRPr="002F0304" w:rsidRDefault="002F0304" w:rsidP="002F0304">
      <w:pPr>
        <w:rPr>
          <w:b/>
          <w:sz w:val="20"/>
          <w:szCs w:val="20"/>
        </w:rPr>
      </w:pPr>
      <w:r w:rsidRPr="002F0304">
        <w:t>Currently the loss allocation and principal allocation rules are modelled in Alexa's CMO valuation application independently from each other. This generally imposes a strong restriction on modelled structures CMO as, for example,</w:t>
      </w:r>
      <w:r>
        <w:t xml:space="preserve"> </w:t>
      </w:r>
      <w:r w:rsidRPr="002F0304">
        <w:t>it does not allow to model the CMO deals with senior credit support depletion date</w:t>
      </w:r>
      <w:r>
        <w:t xml:space="preserve"> </w:t>
      </w:r>
      <w:r w:rsidRPr="002F0304">
        <w:t>in which the principal allocation rules depend on the total losses and respectively</w:t>
      </w:r>
      <w:r w:rsidRPr="002F0304">
        <w:tab/>
        <w:t>tota</w:t>
      </w:r>
      <w:r>
        <w:t>l balances of junior and mezzan</w:t>
      </w:r>
      <w:r w:rsidRPr="002F0304">
        <w:t>ine balances. The valuation for these CMO deals can be performed only after the senior credit support depletion date, when the principal allocation rule switched to the pro-rata rule.</w:t>
      </w:r>
      <w:r w:rsidRPr="002F0304">
        <w:rPr>
          <w:b/>
          <w:sz w:val="20"/>
          <w:szCs w:val="20"/>
        </w:rPr>
        <w:tab/>
      </w:r>
    </w:p>
    <w:p w:rsidR="002F0304" w:rsidRPr="002F0304" w:rsidRDefault="002F0304" w:rsidP="002F0304">
      <w:r w:rsidRPr="002F0304">
        <w:t>Alexa's CMO valuation application is also generally not applicable to the CMO deals with</w:t>
      </w:r>
      <w:r>
        <w:t xml:space="preserve"> </w:t>
      </w:r>
      <w:r w:rsidRPr="002F0304">
        <w:t>multiple security classes, in which the loss and principal allocation in some security classes depend on the allocation</w:t>
      </w:r>
      <w:r>
        <w:t xml:space="preserve"> in other security classes. The</w:t>
      </w:r>
      <w:r w:rsidRPr="002F0304">
        <w:t xml:space="preserve"> Alexa's CMO valuation application assumes a single loss and principal repayment rate</w:t>
      </w:r>
      <w:r>
        <w:t xml:space="preserve"> </w:t>
      </w:r>
      <w:r w:rsidRPr="002F0304">
        <w:t>that is applicable to the modelled CMO deal, while multiple security classes with</w:t>
      </w:r>
      <w:r>
        <w:t xml:space="preserve"> </w:t>
      </w:r>
      <w:r w:rsidRPr="002F0304">
        <w:t>cross-class allocation rules dependence require to model the loss and principal repayment rate</w:t>
      </w:r>
      <w:r>
        <w:t xml:space="preserve"> </w:t>
      </w:r>
      <w:r w:rsidRPr="002F0304">
        <w:t>for each security class individually.</w:t>
      </w:r>
      <w:r w:rsidRPr="002F0304">
        <w:tab/>
      </w:r>
    </w:p>
    <w:p w:rsidR="002F0304" w:rsidRPr="002F0304" w:rsidRDefault="002F0304" w:rsidP="002F0304">
      <w:r w:rsidRPr="002F0304">
        <w:t>The loss (principal) allocation rule in Alexa's CMO valuation application is modelled as a combination of hierarchical, pro-rata, and weight-based structures.</w:t>
      </w:r>
      <w:r w:rsidRPr="002F0304">
        <w:tab/>
        <w:t>The secur</w:t>
      </w:r>
      <w:r>
        <w:t>ities in the CMO deal are group</w:t>
      </w:r>
      <w:r w:rsidRPr="002F0304">
        <w:t>ed together depending on which of the three structures is applied to each specific group. The structure is generally modelled as a tree of security groups. Each group can contain either a security</w:t>
      </w:r>
      <w:r>
        <w:t xml:space="preserve"> </w:t>
      </w:r>
      <w:r w:rsidRPr="002F0304">
        <w:t>or another group of securities. The allocation rule within each group can be different</w:t>
      </w:r>
      <w:r>
        <w:t xml:space="preserve"> </w:t>
      </w:r>
      <w:r w:rsidRPr="002F0304">
        <w:t xml:space="preserve">and is specified by one of the above three rules. </w:t>
      </w:r>
      <w:r w:rsidRPr="002F0304">
        <w:tab/>
      </w:r>
    </w:p>
    <w:p w:rsidR="002F0304" w:rsidRPr="002F0304" w:rsidRDefault="002F0304" w:rsidP="002F0304">
      <w:r w:rsidRPr="002F0304">
        <w:lastRenderedPageBreak/>
        <w:t>To illustrate the modelling approach, suppose that we need to model a simple loss allocation structure in which the losses are allocated based on the subordination structure of the securities. The total group of securities, labelled as G, is divided into three groups: group B of junior securities, group M of mezzanine securities, and group A of senior securities. Within each group B, M, and A the losses are allocated on pro-rata basis. Within group</w:t>
      </w:r>
      <w:r>
        <w:t xml:space="preserve"> </w:t>
      </w:r>
      <w:r w:rsidRPr="002F0304">
        <w:t>G the losses are allocated using hierarchical structure: first to B, then to M, and</w:t>
      </w:r>
      <w:r>
        <w:t xml:space="preserve"> </w:t>
      </w:r>
      <w:r w:rsidRPr="002F0304">
        <w:t>finally to A.</w:t>
      </w:r>
      <w:r w:rsidRPr="002F0304">
        <w:tab/>
      </w:r>
    </w:p>
    <w:p w:rsidR="002F0304" w:rsidRPr="002F0304" w:rsidRDefault="002F0304" w:rsidP="009959AE">
      <w:pPr>
        <w:pStyle w:val="Heading2"/>
      </w:pPr>
      <w:r w:rsidRPr="002F0304">
        <w:t>Describing Losses and Principal Allocation Rules</w:t>
      </w:r>
    </w:p>
    <w:p w:rsidR="002F0304" w:rsidRDefault="002F0304" w:rsidP="00385A01">
      <w:r w:rsidRPr="00385A01">
        <w:t>The allocation rules are described in Alexa's CMO valuation application using a table that lists all the groups and securities in the CMO deal, the group tree structure, and the allocation rule within each group.</w:t>
      </w:r>
      <w:r w:rsidR="00385A01" w:rsidRPr="00385A01">
        <w:t xml:space="preserve"> An illustration </w:t>
      </w:r>
      <w:r w:rsidR="00385A01">
        <w:t>of the table and related group tree are shown in the exhibit below.</w:t>
      </w:r>
    </w:p>
    <w:tbl>
      <w:tblPr>
        <w:tblStyle w:val="TableGrid"/>
        <w:tblW w:w="0" w:type="auto"/>
        <w:tblLook w:val="04A0" w:firstRow="1" w:lastRow="0" w:firstColumn="1" w:lastColumn="0" w:noHBand="0" w:noVBand="1"/>
      </w:tblPr>
      <w:tblGrid>
        <w:gridCol w:w="4751"/>
        <w:gridCol w:w="4723"/>
      </w:tblGrid>
      <w:tr w:rsidR="005A2033" w:rsidRPr="00F80D2C" w:rsidTr="00F80D2C">
        <w:tc>
          <w:tcPr>
            <w:tcW w:w="4788" w:type="dxa"/>
            <w:shd w:val="clear" w:color="auto" w:fill="000000" w:themeFill="text1"/>
            <w:tcMar>
              <w:top w:w="57" w:type="dxa"/>
              <w:left w:w="57" w:type="dxa"/>
              <w:bottom w:w="57" w:type="dxa"/>
              <w:right w:w="57" w:type="dxa"/>
            </w:tcMar>
            <w:vAlign w:val="center"/>
          </w:tcPr>
          <w:p w:rsidR="00F80D2C" w:rsidRPr="00F80D2C" w:rsidRDefault="00F80D2C" w:rsidP="00F80D2C">
            <w:pPr>
              <w:spacing w:after="0"/>
              <w:rPr>
                <w:b/>
              </w:rPr>
            </w:pPr>
            <w:r>
              <w:rPr>
                <w:b/>
              </w:rPr>
              <w:t>Table representation of the loss allocation rules</w:t>
            </w:r>
          </w:p>
        </w:tc>
        <w:tc>
          <w:tcPr>
            <w:tcW w:w="4788" w:type="dxa"/>
            <w:shd w:val="clear" w:color="auto" w:fill="000000" w:themeFill="text1"/>
            <w:tcMar>
              <w:top w:w="57" w:type="dxa"/>
              <w:left w:w="57" w:type="dxa"/>
              <w:bottom w:w="57" w:type="dxa"/>
              <w:right w:w="57" w:type="dxa"/>
            </w:tcMar>
            <w:vAlign w:val="center"/>
          </w:tcPr>
          <w:p w:rsidR="00F80D2C" w:rsidRPr="00F80D2C" w:rsidRDefault="00F80D2C" w:rsidP="006C619D">
            <w:pPr>
              <w:spacing w:after="0"/>
              <w:jc w:val="left"/>
              <w:rPr>
                <w:b/>
              </w:rPr>
            </w:pPr>
            <w:r>
              <w:rPr>
                <w:b/>
              </w:rPr>
              <w:t>Group-tree representation of the loss allocation rules</w:t>
            </w:r>
          </w:p>
        </w:tc>
      </w:tr>
      <w:tr w:rsidR="005A2033" w:rsidTr="00F80D2C">
        <w:tc>
          <w:tcPr>
            <w:tcW w:w="4788" w:type="dxa"/>
            <w:tcMar>
              <w:top w:w="57" w:type="dxa"/>
              <w:left w:w="57" w:type="dxa"/>
              <w:bottom w:w="57" w:type="dxa"/>
              <w:right w:w="57" w:type="dxa"/>
            </w:tcMar>
            <w:vAlign w:val="center"/>
          </w:tcPr>
          <w:tbl>
            <w:tblPr>
              <w:tblW w:w="4618" w:type="dxa"/>
              <w:tblLook w:val="04A0" w:firstRow="1" w:lastRow="0" w:firstColumn="1" w:lastColumn="0" w:noHBand="0" w:noVBand="1"/>
            </w:tblPr>
            <w:tblGrid>
              <w:gridCol w:w="839"/>
              <w:gridCol w:w="1413"/>
              <w:gridCol w:w="842"/>
              <w:gridCol w:w="689"/>
              <w:gridCol w:w="834"/>
            </w:tblGrid>
            <w:tr w:rsidR="000F5FB2" w:rsidRPr="000F5FB2" w:rsidTr="009C3217">
              <w:trPr>
                <w:trHeight w:val="490"/>
              </w:trPr>
              <w:tc>
                <w:tcPr>
                  <w:tcW w:w="840" w:type="dxa"/>
                  <w:tcBorders>
                    <w:top w:val="single" w:sz="8" w:space="0" w:color="auto"/>
                    <w:left w:val="single" w:sz="8" w:space="0" w:color="auto"/>
                    <w:bottom w:val="single" w:sz="8" w:space="0" w:color="auto"/>
                    <w:right w:val="single" w:sz="4" w:space="0" w:color="auto"/>
                  </w:tcBorders>
                  <w:shd w:val="clear" w:color="auto" w:fill="808080" w:themeFill="background1" w:themeFillShade="80"/>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FFFFFF" w:themeColor="background1"/>
                      <w:sz w:val="18"/>
                      <w:szCs w:val="18"/>
                      <w:lang w:eastAsia="en-CA"/>
                    </w:rPr>
                  </w:pPr>
                  <w:r w:rsidRPr="006C619D">
                    <w:rPr>
                      <w:rFonts w:ascii="Calibri" w:eastAsia="Times New Roman" w:hAnsi="Calibri" w:cs="Calibri"/>
                      <w:color w:val="FFFFFF" w:themeColor="background1"/>
                      <w:sz w:val="18"/>
                      <w:szCs w:val="18"/>
                      <w:lang w:eastAsia="en-CA"/>
                    </w:rPr>
                    <w:t>Tranche Name</w:t>
                  </w:r>
                </w:p>
              </w:tc>
              <w:tc>
                <w:tcPr>
                  <w:tcW w:w="1413" w:type="dxa"/>
                  <w:tcBorders>
                    <w:top w:val="single" w:sz="8" w:space="0" w:color="auto"/>
                    <w:left w:val="nil"/>
                    <w:bottom w:val="single" w:sz="8" w:space="0" w:color="auto"/>
                    <w:right w:val="single" w:sz="4" w:space="0" w:color="auto"/>
                  </w:tcBorders>
                  <w:shd w:val="clear" w:color="auto" w:fill="808080" w:themeFill="background1" w:themeFillShade="80"/>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FFFFFF" w:themeColor="background1"/>
                      <w:sz w:val="18"/>
                      <w:szCs w:val="18"/>
                      <w:lang w:eastAsia="en-CA"/>
                    </w:rPr>
                  </w:pPr>
                  <w:r w:rsidRPr="006C619D">
                    <w:rPr>
                      <w:rFonts w:ascii="Calibri" w:eastAsia="Times New Roman" w:hAnsi="Calibri" w:cs="Calibri"/>
                      <w:color w:val="FFFFFF" w:themeColor="background1"/>
                      <w:sz w:val="18"/>
                      <w:szCs w:val="18"/>
                      <w:lang w:eastAsia="en-CA"/>
                    </w:rPr>
                    <w:t>Outstanding Balance</w:t>
                  </w:r>
                </w:p>
              </w:tc>
              <w:tc>
                <w:tcPr>
                  <w:tcW w:w="842" w:type="dxa"/>
                  <w:tcBorders>
                    <w:top w:val="single" w:sz="8" w:space="0" w:color="auto"/>
                    <w:left w:val="single" w:sz="4" w:space="0" w:color="auto"/>
                    <w:bottom w:val="single" w:sz="8" w:space="0" w:color="auto"/>
                    <w:right w:val="single" w:sz="4" w:space="0" w:color="auto"/>
                  </w:tcBorders>
                  <w:shd w:val="clear" w:color="auto" w:fill="808080" w:themeFill="background1" w:themeFillShade="80"/>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FFFFFF" w:themeColor="background1"/>
                      <w:sz w:val="18"/>
                      <w:szCs w:val="18"/>
                      <w:lang w:eastAsia="en-CA"/>
                    </w:rPr>
                  </w:pPr>
                  <w:r w:rsidRPr="000F5FB2">
                    <w:rPr>
                      <w:rFonts w:ascii="Calibri" w:eastAsia="Times New Roman" w:hAnsi="Calibri" w:cs="Calibri"/>
                      <w:color w:val="FFFFFF" w:themeColor="background1"/>
                      <w:sz w:val="18"/>
                      <w:szCs w:val="18"/>
                      <w:lang w:eastAsia="en-CA"/>
                    </w:rPr>
                    <w:t>Loss</w:t>
                  </w:r>
                  <w:r w:rsidRPr="006C619D">
                    <w:rPr>
                      <w:rFonts w:ascii="Calibri" w:eastAsia="Times New Roman" w:hAnsi="Calibri" w:cs="Calibri"/>
                      <w:color w:val="FFFFFF" w:themeColor="background1"/>
                      <w:sz w:val="18"/>
                      <w:szCs w:val="18"/>
                      <w:lang w:eastAsia="en-CA"/>
                    </w:rPr>
                    <w:t xml:space="preserve"> Parent</w:t>
                  </w:r>
                </w:p>
              </w:tc>
              <w:tc>
                <w:tcPr>
                  <w:tcW w:w="689" w:type="dxa"/>
                  <w:tcBorders>
                    <w:top w:val="single" w:sz="8" w:space="0" w:color="auto"/>
                    <w:left w:val="nil"/>
                    <w:bottom w:val="single" w:sz="8" w:space="0" w:color="auto"/>
                    <w:right w:val="single" w:sz="4" w:space="0" w:color="auto"/>
                  </w:tcBorders>
                  <w:shd w:val="clear" w:color="auto" w:fill="808080" w:themeFill="background1" w:themeFillShade="80"/>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FFFFFF" w:themeColor="background1"/>
                      <w:sz w:val="18"/>
                      <w:szCs w:val="18"/>
                      <w:lang w:eastAsia="en-CA"/>
                    </w:rPr>
                  </w:pPr>
                  <w:r w:rsidRPr="000F5FB2">
                    <w:rPr>
                      <w:rFonts w:ascii="Calibri" w:eastAsia="Times New Roman" w:hAnsi="Calibri" w:cs="Calibri"/>
                      <w:color w:val="FFFFFF" w:themeColor="background1"/>
                      <w:sz w:val="18"/>
                      <w:szCs w:val="18"/>
                      <w:lang w:eastAsia="en-CA"/>
                    </w:rPr>
                    <w:t>Loss</w:t>
                  </w:r>
                  <w:r w:rsidRPr="006C619D">
                    <w:rPr>
                      <w:rFonts w:ascii="Calibri" w:eastAsia="Times New Roman" w:hAnsi="Calibri" w:cs="Calibri"/>
                      <w:color w:val="FFFFFF" w:themeColor="background1"/>
                      <w:sz w:val="18"/>
                      <w:szCs w:val="18"/>
                      <w:lang w:eastAsia="en-CA"/>
                    </w:rPr>
                    <w:t xml:space="preserve"> Rank</w:t>
                  </w:r>
                </w:p>
              </w:tc>
              <w:tc>
                <w:tcPr>
                  <w:tcW w:w="834" w:type="dxa"/>
                  <w:tcBorders>
                    <w:top w:val="single" w:sz="8" w:space="0" w:color="auto"/>
                    <w:left w:val="nil"/>
                    <w:bottom w:val="single" w:sz="8" w:space="0" w:color="auto"/>
                    <w:right w:val="single" w:sz="8" w:space="0" w:color="auto"/>
                  </w:tcBorders>
                  <w:shd w:val="clear" w:color="auto" w:fill="808080" w:themeFill="background1" w:themeFillShade="80"/>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FFFFFF" w:themeColor="background1"/>
                      <w:sz w:val="18"/>
                      <w:szCs w:val="18"/>
                      <w:lang w:eastAsia="en-CA"/>
                    </w:rPr>
                  </w:pPr>
                  <w:r w:rsidRPr="000F5FB2">
                    <w:rPr>
                      <w:rFonts w:ascii="Calibri" w:eastAsia="Times New Roman" w:hAnsi="Calibri" w:cs="Calibri"/>
                      <w:color w:val="FFFFFF" w:themeColor="background1"/>
                      <w:sz w:val="18"/>
                      <w:szCs w:val="18"/>
                      <w:lang w:eastAsia="en-CA"/>
                    </w:rPr>
                    <w:t>Loss</w:t>
                  </w:r>
                  <w:r w:rsidRPr="006C619D">
                    <w:rPr>
                      <w:rFonts w:ascii="Calibri" w:eastAsia="Times New Roman" w:hAnsi="Calibri" w:cs="Calibri"/>
                      <w:color w:val="FFFFFF" w:themeColor="background1"/>
                      <w:sz w:val="18"/>
                      <w:szCs w:val="18"/>
                      <w:lang w:eastAsia="en-CA"/>
                    </w:rPr>
                    <w:t xml:space="preserve"> Weight</w:t>
                  </w:r>
                </w:p>
              </w:tc>
            </w:tr>
            <w:tr w:rsidR="006C619D" w:rsidRPr="006C619D" w:rsidTr="009C3217">
              <w:trPr>
                <w:trHeight w:val="240"/>
              </w:trPr>
              <w:tc>
                <w:tcPr>
                  <w:tcW w:w="840" w:type="dxa"/>
                  <w:tcBorders>
                    <w:top w:val="nil"/>
                    <w:left w:val="single" w:sz="8"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r w:rsidRPr="006C619D">
                    <w:rPr>
                      <w:rFonts w:ascii="Calibri" w:eastAsia="Times New Roman" w:hAnsi="Calibri" w:cs="Calibri"/>
                      <w:color w:val="000000"/>
                      <w:sz w:val="18"/>
                      <w:szCs w:val="18"/>
                      <w:lang w:eastAsia="en-CA"/>
                    </w:rPr>
                    <w:t>B1-B6</w:t>
                  </w:r>
                </w:p>
              </w:tc>
              <w:tc>
                <w:tcPr>
                  <w:tcW w:w="1413"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r w:rsidRPr="006C619D">
                    <w:rPr>
                      <w:rFonts w:ascii="Calibri" w:eastAsia="Times New Roman" w:hAnsi="Calibri" w:cs="Calibri"/>
                      <w:color w:val="000000"/>
                      <w:sz w:val="18"/>
                      <w:szCs w:val="18"/>
                      <w:lang w:eastAsia="en-CA"/>
                    </w:rPr>
                    <w:t>20,000,000</w:t>
                  </w:r>
                </w:p>
              </w:tc>
              <w:tc>
                <w:tcPr>
                  <w:tcW w:w="842" w:type="dxa"/>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r w:rsidRPr="006C619D">
                    <w:rPr>
                      <w:rFonts w:ascii="Calibri" w:eastAsia="Times New Roman" w:hAnsi="Calibri" w:cs="Calibri"/>
                      <w:color w:val="000000"/>
                      <w:sz w:val="18"/>
                      <w:szCs w:val="18"/>
                      <w:lang w:eastAsia="en-CA"/>
                    </w:rPr>
                    <w:t>root</w:t>
                  </w:r>
                </w:p>
              </w:tc>
              <w:tc>
                <w:tcPr>
                  <w:tcW w:w="689"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C619D" w:rsidRPr="006C619D" w:rsidRDefault="009C3217" w:rsidP="006C619D">
                  <w:pPr>
                    <w:spacing w:after="0" w:line="240" w:lineRule="auto"/>
                    <w:jc w:val="center"/>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4</w:t>
                  </w:r>
                </w:p>
              </w:tc>
              <w:tc>
                <w:tcPr>
                  <w:tcW w:w="834" w:type="dxa"/>
                  <w:tcBorders>
                    <w:top w:val="nil"/>
                    <w:left w:val="nil"/>
                    <w:bottom w:val="single" w:sz="4" w:space="0" w:color="auto"/>
                    <w:right w:val="single" w:sz="8"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p>
              </w:tc>
            </w:tr>
            <w:tr w:rsidR="006C619D" w:rsidRPr="006C619D" w:rsidTr="009C3217">
              <w:trPr>
                <w:trHeight w:val="240"/>
              </w:trPr>
              <w:tc>
                <w:tcPr>
                  <w:tcW w:w="840" w:type="dxa"/>
                  <w:tcBorders>
                    <w:top w:val="nil"/>
                    <w:left w:val="single" w:sz="8"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r w:rsidRPr="006C619D">
                    <w:rPr>
                      <w:rFonts w:ascii="Calibri" w:eastAsia="Times New Roman" w:hAnsi="Calibri" w:cs="Calibri"/>
                      <w:color w:val="000000"/>
                      <w:sz w:val="18"/>
                      <w:szCs w:val="18"/>
                      <w:lang w:eastAsia="en-CA"/>
                    </w:rPr>
                    <w:t>A1</w:t>
                  </w:r>
                </w:p>
              </w:tc>
              <w:tc>
                <w:tcPr>
                  <w:tcW w:w="1413"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r w:rsidRPr="006C619D">
                    <w:rPr>
                      <w:rFonts w:ascii="Calibri" w:eastAsia="Times New Roman" w:hAnsi="Calibri" w:cs="Calibri"/>
                      <w:color w:val="000000"/>
                      <w:sz w:val="18"/>
                      <w:szCs w:val="18"/>
                      <w:lang w:eastAsia="en-CA"/>
                    </w:rPr>
                    <w:t>50,000,000</w:t>
                  </w:r>
                </w:p>
              </w:tc>
              <w:tc>
                <w:tcPr>
                  <w:tcW w:w="842" w:type="dxa"/>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r w:rsidRPr="006C619D">
                    <w:rPr>
                      <w:rFonts w:ascii="Calibri" w:eastAsia="Times New Roman" w:hAnsi="Calibri" w:cs="Calibri"/>
                      <w:color w:val="000000"/>
                      <w:sz w:val="18"/>
                      <w:szCs w:val="18"/>
                      <w:lang w:eastAsia="en-CA"/>
                    </w:rPr>
                    <w:t>A1-A3</w:t>
                  </w:r>
                </w:p>
              </w:tc>
              <w:tc>
                <w:tcPr>
                  <w:tcW w:w="689"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p>
              </w:tc>
              <w:tc>
                <w:tcPr>
                  <w:tcW w:w="834" w:type="dxa"/>
                  <w:tcBorders>
                    <w:top w:val="nil"/>
                    <w:left w:val="nil"/>
                    <w:bottom w:val="single" w:sz="4" w:space="0" w:color="auto"/>
                    <w:right w:val="single" w:sz="8" w:space="0" w:color="auto"/>
                  </w:tcBorders>
                  <w:shd w:val="clear" w:color="auto" w:fill="auto"/>
                  <w:noWrap/>
                  <w:tcMar>
                    <w:top w:w="28" w:type="dxa"/>
                    <w:left w:w="28" w:type="dxa"/>
                    <w:bottom w:w="28" w:type="dxa"/>
                    <w:right w:w="28" w:type="dxa"/>
                  </w:tcMar>
                  <w:vAlign w:val="center"/>
                  <w:hideMark/>
                </w:tcPr>
                <w:p w:rsidR="006C619D" w:rsidRPr="006C619D" w:rsidRDefault="00450087" w:rsidP="006C619D">
                  <w:pPr>
                    <w:spacing w:after="0" w:line="240" w:lineRule="auto"/>
                    <w:jc w:val="center"/>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46.0</w:t>
                  </w:r>
                  <w:r w:rsidR="006C619D" w:rsidRPr="006C619D">
                    <w:rPr>
                      <w:rFonts w:ascii="Calibri" w:eastAsia="Times New Roman" w:hAnsi="Calibri" w:cs="Calibri"/>
                      <w:color w:val="000000"/>
                      <w:sz w:val="18"/>
                      <w:szCs w:val="18"/>
                      <w:lang w:eastAsia="en-CA"/>
                    </w:rPr>
                    <w:t>%</w:t>
                  </w:r>
                </w:p>
              </w:tc>
            </w:tr>
            <w:tr w:rsidR="006C619D" w:rsidRPr="006C619D" w:rsidTr="009C3217">
              <w:trPr>
                <w:trHeight w:val="240"/>
              </w:trPr>
              <w:tc>
                <w:tcPr>
                  <w:tcW w:w="840" w:type="dxa"/>
                  <w:tcBorders>
                    <w:top w:val="nil"/>
                    <w:left w:val="single" w:sz="8"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r w:rsidRPr="006C619D">
                    <w:rPr>
                      <w:rFonts w:ascii="Calibri" w:eastAsia="Times New Roman" w:hAnsi="Calibri" w:cs="Calibri"/>
                      <w:color w:val="000000"/>
                      <w:sz w:val="18"/>
                      <w:szCs w:val="18"/>
                      <w:lang w:eastAsia="en-CA"/>
                    </w:rPr>
                    <w:t>A2</w:t>
                  </w:r>
                </w:p>
              </w:tc>
              <w:tc>
                <w:tcPr>
                  <w:tcW w:w="1413"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r w:rsidRPr="006C619D">
                    <w:rPr>
                      <w:rFonts w:ascii="Calibri" w:eastAsia="Times New Roman" w:hAnsi="Calibri" w:cs="Calibri"/>
                      <w:color w:val="000000"/>
                      <w:sz w:val="18"/>
                      <w:szCs w:val="18"/>
                      <w:lang w:eastAsia="en-CA"/>
                    </w:rPr>
                    <w:t>20,000,000</w:t>
                  </w:r>
                </w:p>
              </w:tc>
              <w:tc>
                <w:tcPr>
                  <w:tcW w:w="842" w:type="dxa"/>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r w:rsidRPr="006C619D">
                    <w:rPr>
                      <w:rFonts w:ascii="Calibri" w:eastAsia="Times New Roman" w:hAnsi="Calibri" w:cs="Calibri"/>
                      <w:color w:val="000000"/>
                      <w:sz w:val="18"/>
                      <w:szCs w:val="18"/>
                      <w:lang w:eastAsia="en-CA"/>
                    </w:rPr>
                    <w:t>A2-A3</w:t>
                  </w:r>
                </w:p>
              </w:tc>
              <w:tc>
                <w:tcPr>
                  <w:tcW w:w="689"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p>
              </w:tc>
              <w:tc>
                <w:tcPr>
                  <w:tcW w:w="834" w:type="dxa"/>
                  <w:tcBorders>
                    <w:top w:val="nil"/>
                    <w:left w:val="nil"/>
                    <w:bottom w:val="single" w:sz="4" w:space="0" w:color="auto"/>
                    <w:right w:val="single" w:sz="8"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p>
              </w:tc>
            </w:tr>
            <w:tr w:rsidR="006C619D" w:rsidRPr="006C619D" w:rsidTr="009C3217">
              <w:trPr>
                <w:trHeight w:val="240"/>
              </w:trPr>
              <w:tc>
                <w:tcPr>
                  <w:tcW w:w="840" w:type="dxa"/>
                  <w:tcBorders>
                    <w:top w:val="nil"/>
                    <w:left w:val="single" w:sz="8"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r w:rsidRPr="006C619D">
                    <w:rPr>
                      <w:rFonts w:ascii="Calibri" w:eastAsia="Times New Roman" w:hAnsi="Calibri" w:cs="Calibri"/>
                      <w:color w:val="000000"/>
                      <w:sz w:val="18"/>
                      <w:szCs w:val="18"/>
                      <w:lang w:eastAsia="en-CA"/>
                    </w:rPr>
                    <w:t>A3</w:t>
                  </w:r>
                </w:p>
              </w:tc>
              <w:tc>
                <w:tcPr>
                  <w:tcW w:w="1413"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r w:rsidRPr="006C619D">
                    <w:rPr>
                      <w:rFonts w:ascii="Calibri" w:eastAsia="Times New Roman" w:hAnsi="Calibri" w:cs="Calibri"/>
                      <w:color w:val="000000"/>
                      <w:sz w:val="18"/>
                      <w:szCs w:val="18"/>
                      <w:lang w:eastAsia="en-CA"/>
                    </w:rPr>
                    <w:t>60,000,000</w:t>
                  </w:r>
                </w:p>
              </w:tc>
              <w:tc>
                <w:tcPr>
                  <w:tcW w:w="842" w:type="dxa"/>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r w:rsidRPr="006C619D">
                    <w:rPr>
                      <w:rFonts w:ascii="Calibri" w:eastAsia="Times New Roman" w:hAnsi="Calibri" w:cs="Calibri"/>
                      <w:color w:val="000000"/>
                      <w:sz w:val="18"/>
                      <w:szCs w:val="18"/>
                      <w:lang w:eastAsia="en-CA"/>
                    </w:rPr>
                    <w:t>A2-A3</w:t>
                  </w:r>
                </w:p>
              </w:tc>
              <w:tc>
                <w:tcPr>
                  <w:tcW w:w="689"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p>
              </w:tc>
              <w:tc>
                <w:tcPr>
                  <w:tcW w:w="834" w:type="dxa"/>
                  <w:tcBorders>
                    <w:top w:val="nil"/>
                    <w:left w:val="nil"/>
                    <w:bottom w:val="single" w:sz="4" w:space="0" w:color="auto"/>
                    <w:right w:val="single" w:sz="8"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p>
              </w:tc>
            </w:tr>
            <w:tr w:rsidR="006C619D" w:rsidRPr="006C619D" w:rsidTr="009C3217">
              <w:trPr>
                <w:trHeight w:val="240"/>
              </w:trPr>
              <w:tc>
                <w:tcPr>
                  <w:tcW w:w="840" w:type="dxa"/>
                  <w:tcBorders>
                    <w:top w:val="nil"/>
                    <w:left w:val="single" w:sz="8"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r w:rsidRPr="006C619D">
                    <w:rPr>
                      <w:rFonts w:ascii="Calibri" w:eastAsia="Times New Roman" w:hAnsi="Calibri" w:cs="Calibri"/>
                      <w:color w:val="000000"/>
                      <w:sz w:val="18"/>
                      <w:szCs w:val="18"/>
                      <w:lang w:eastAsia="en-CA"/>
                    </w:rPr>
                    <w:t>A4</w:t>
                  </w:r>
                </w:p>
              </w:tc>
              <w:tc>
                <w:tcPr>
                  <w:tcW w:w="1413"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100,000,00</w:t>
                  </w:r>
                  <w:r w:rsidRPr="006C619D">
                    <w:rPr>
                      <w:rFonts w:ascii="Calibri" w:eastAsia="Times New Roman" w:hAnsi="Calibri" w:cs="Calibri"/>
                      <w:color w:val="000000"/>
                      <w:sz w:val="18"/>
                      <w:szCs w:val="18"/>
                      <w:lang w:eastAsia="en-CA"/>
                    </w:rPr>
                    <w:t>0</w:t>
                  </w:r>
                </w:p>
              </w:tc>
              <w:tc>
                <w:tcPr>
                  <w:tcW w:w="842" w:type="dxa"/>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r w:rsidRPr="006C619D">
                    <w:rPr>
                      <w:rFonts w:ascii="Calibri" w:eastAsia="Times New Roman" w:hAnsi="Calibri" w:cs="Calibri"/>
                      <w:color w:val="000000"/>
                      <w:sz w:val="18"/>
                      <w:szCs w:val="18"/>
                      <w:lang w:eastAsia="en-CA"/>
                    </w:rPr>
                    <w:t>root</w:t>
                  </w:r>
                </w:p>
              </w:tc>
              <w:tc>
                <w:tcPr>
                  <w:tcW w:w="689"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r w:rsidRPr="006C619D">
                    <w:rPr>
                      <w:rFonts w:ascii="Calibri" w:eastAsia="Times New Roman" w:hAnsi="Calibri" w:cs="Calibri"/>
                      <w:color w:val="000000"/>
                      <w:sz w:val="18"/>
                      <w:szCs w:val="18"/>
                      <w:lang w:eastAsia="en-CA"/>
                    </w:rPr>
                    <w:t>3</w:t>
                  </w:r>
                </w:p>
              </w:tc>
              <w:tc>
                <w:tcPr>
                  <w:tcW w:w="834" w:type="dxa"/>
                  <w:tcBorders>
                    <w:top w:val="nil"/>
                    <w:left w:val="nil"/>
                    <w:bottom w:val="single" w:sz="4" w:space="0" w:color="auto"/>
                    <w:right w:val="single" w:sz="8"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p>
              </w:tc>
            </w:tr>
            <w:tr w:rsidR="006C619D" w:rsidRPr="006C619D" w:rsidTr="009C3217">
              <w:trPr>
                <w:trHeight w:val="240"/>
              </w:trPr>
              <w:tc>
                <w:tcPr>
                  <w:tcW w:w="840" w:type="dxa"/>
                  <w:tcBorders>
                    <w:top w:val="nil"/>
                    <w:left w:val="single" w:sz="8"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C619D" w:rsidRPr="006C619D" w:rsidRDefault="009C3217" w:rsidP="006C619D">
                  <w:pPr>
                    <w:spacing w:after="0" w:line="240" w:lineRule="auto"/>
                    <w:jc w:val="center"/>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A5</w:t>
                  </w:r>
                </w:p>
              </w:tc>
              <w:tc>
                <w:tcPr>
                  <w:tcW w:w="1413"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C619D" w:rsidRPr="006C619D" w:rsidRDefault="009C3217" w:rsidP="006C619D">
                  <w:pPr>
                    <w:spacing w:after="0" w:line="240" w:lineRule="auto"/>
                    <w:jc w:val="center"/>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2</w:t>
                  </w:r>
                  <w:r w:rsidR="006C619D" w:rsidRPr="006C619D">
                    <w:rPr>
                      <w:rFonts w:ascii="Calibri" w:eastAsia="Times New Roman" w:hAnsi="Calibri" w:cs="Calibri"/>
                      <w:color w:val="000000"/>
                      <w:sz w:val="18"/>
                      <w:szCs w:val="18"/>
                      <w:lang w:eastAsia="en-CA"/>
                    </w:rPr>
                    <w:t>0,000,000</w:t>
                  </w:r>
                </w:p>
              </w:tc>
              <w:tc>
                <w:tcPr>
                  <w:tcW w:w="842" w:type="dxa"/>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r w:rsidRPr="006C619D">
                    <w:rPr>
                      <w:rFonts w:ascii="Calibri" w:eastAsia="Times New Roman" w:hAnsi="Calibri" w:cs="Calibri"/>
                      <w:color w:val="000000"/>
                      <w:sz w:val="18"/>
                      <w:szCs w:val="18"/>
                      <w:lang w:eastAsia="en-CA"/>
                    </w:rPr>
                    <w:t>root</w:t>
                  </w:r>
                </w:p>
              </w:tc>
              <w:tc>
                <w:tcPr>
                  <w:tcW w:w="689"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r w:rsidRPr="006C619D">
                    <w:rPr>
                      <w:rFonts w:ascii="Calibri" w:eastAsia="Times New Roman" w:hAnsi="Calibri" w:cs="Calibri"/>
                      <w:color w:val="000000"/>
                      <w:sz w:val="18"/>
                      <w:szCs w:val="18"/>
                      <w:lang w:eastAsia="en-CA"/>
                    </w:rPr>
                    <w:t>1</w:t>
                  </w:r>
                </w:p>
              </w:tc>
              <w:tc>
                <w:tcPr>
                  <w:tcW w:w="834" w:type="dxa"/>
                  <w:tcBorders>
                    <w:top w:val="nil"/>
                    <w:left w:val="nil"/>
                    <w:bottom w:val="single" w:sz="4" w:space="0" w:color="auto"/>
                    <w:right w:val="single" w:sz="8"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p>
              </w:tc>
            </w:tr>
            <w:tr w:rsidR="006C619D" w:rsidRPr="006C619D" w:rsidTr="009C3217">
              <w:trPr>
                <w:trHeight w:val="240"/>
              </w:trPr>
              <w:tc>
                <w:tcPr>
                  <w:tcW w:w="840" w:type="dxa"/>
                  <w:tcBorders>
                    <w:top w:val="nil"/>
                    <w:left w:val="single" w:sz="8" w:space="0" w:color="auto"/>
                    <w:bottom w:val="nil"/>
                    <w:right w:val="single" w:sz="4"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r w:rsidRPr="006C619D">
                    <w:rPr>
                      <w:rFonts w:ascii="Calibri" w:eastAsia="Times New Roman" w:hAnsi="Calibri" w:cs="Calibri"/>
                      <w:color w:val="000000"/>
                      <w:sz w:val="18"/>
                      <w:szCs w:val="18"/>
                      <w:lang w:eastAsia="en-CA"/>
                    </w:rPr>
                    <w:t>A1-A3</w:t>
                  </w:r>
                </w:p>
              </w:tc>
              <w:tc>
                <w:tcPr>
                  <w:tcW w:w="1413" w:type="dxa"/>
                  <w:tcBorders>
                    <w:top w:val="nil"/>
                    <w:left w:val="nil"/>
                    <w:bottom w:val="nil"/>
                    <w:right w:val="single" w:sz="4"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r w:rsidRPr="006C619D">
                    <w:rPr>
                      <w:rFonts w:ascii="Calibri" w:eastAsia="Times New Roman" w:hAnsi="Calibri" w:cs="Calibri"/>
                      <w:color w:val="000000"/>
                      <w:sz w:val="18"/>
                      <w:szCs w:val="18"/>
                      <w:lang w:eastAsia="en-CA"/>
                    </w:rPr>
                    <w:t>130,000,000</w:t>
                  </w:r>
                </w:p>
              </w:tc>
              <w:tc>
                <w:tcPr>
                  <w:tcW w:w="842" w:type="dxa"/>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r w:rsidRPr="006C619D">
                    <w:rPr>
                      <w:rFonts w:ascii="Calibri" w:eastAsia="Times New Roman" w:hAnsi="Calibri" w:cs="Calibri"/>
                      <w:color w:val="000000"/>
                      <w:sz w:val="18"/>
                      <w:szCs w:val="18"/>
                      <w:lang w:eastAsia="en-CA"/>
                    </w:rPr>
                    <w:t>root</w:t>
                  </w:r>
                </w:p>
              </w:tc>
              <w:tc>
                <w:tcPr>
                  <w:tcW w:w="689" w:type="dxa"/>
                  <w:tcBorders>
                    <w:top w:val="nil"/>
                    <w:left w:val="nil"/>
                    <w:bottom w:val="nil"/>
                    <w:right w:val="single" w:sz="4"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r w:rsidRPr="006C619D">
                    <w:rPr>
                      <w:rFonts w:ascii="Calibri" w:eastAsia="Times New Roman" w:hAnsi="Calibri" w:cs="Calibri"/>
                      <w:color w:val="000000"/>
                      <w:sz w:val="18"/>
                      <w:szCs w:val="18"/>
                      <w:lang w:eastAsia="en-CA"/>
                    </w:rPr>
                    <w:t>2</w:t>
                  </w:r>
                </w:p>
              </w:tc>
              <w:tc>
                <w:tcPr>
                  <w:tcW w:w="834" w:type="dxa"/>
                  <w:tcBorders>
                    <w:top w:val="nil"/>
                    <w:left w:val="nil"/>
                    <w:bottom w:val="nil"/>
                    <w:right w:val="single" w:sz="8"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p>
              </w:tc>
            </w:tr>
            <w:tr w:rsidR="006C619D" w:rsidRPr="006C619D" w:rsidTr="009C3217">
              <w:trPr>
                <w:trHeight w:val="250"/>
              </w:trPr>
              <w:tc>
                <w:tcPr>
                  <w:tcW w:w="840" w:type="dxa"/>
                  <w:tcBorders>
                    <w:top w:val="single" w:sz="4" w:space="0" w:color="auto"/>
                    <w:left w:val="single" w:sz="8" w:space="0" w:color="auto"/>
                    <w:bottom w:val="single" w:sz="8" w:space="0" w:color="auto"/>
                    <w:right w:val="single" w:sz="4"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r w:rsidRPr="006C619D">
                    <w:rPr>
                      <w:rFonts w:ascii="Calibri" w:eastAsia="Times New Roman" w:hAnsi="Calibri" w:cs="Calibri"/>
                      <w:color w:val="000000"/>
                      <w:sz w:val="18"/>
                      <w:szCs w:val="18"/>
                      <w:lang w:eastAsia="en-CA"/>
                    </w:rPr>
                    <w:t>A2-A3</w:t>
                  </w:r>
                </w:p>
              </w:tc>
              <w:tc>
                <w:tcPr>
                  <w:tcW w:w="1413" w:type="dxa"/>
                  <w:tcBorders>
                    <w:top w:val="single" w:sz="4" w:space="0" w:color="auto"/>
                    <w:left w:val="nil"/>
                    <w:bottom w:val="single" w:sz="8" w:space="0" w:color="auto"/>
                    <w:right w:val="single" w:sz="4"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r w:rsidRPr="006C619D">
                    <w:rPr>
                      <w:rFonts w:ascii="Calibri" w:eastAsia="Times New Roman" w:hAnsi="Calibri" w:cs="Calibri"/>
                      <w:color w:val="000000"/>
                      <w:sz w:val="18"/>
                      <w:szCs w:val="18"/>
                      <w:lang w:eastAsia="en-CA"/>
                    </w:rPr>
                    <w:t>80,000,000</w:t>
                  </w:r>
                </w:p>
              </w:tc>
              <w:tc>
                <w:tcPr>
                  <w:tcW w:w="842" w:type="dxa"/>
                  <w:tcBorders>
                    <w:top w:val="nil"/>
                    <w:left w:val="single" w:sz="4" w:space="0" w:color="auto"/>
                    <w:bottom w:val="single" w:sz="8" w:space="0" w:color="auto"/>
                    <w:right w:val="single" w:sz="4"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r w:rsidRPr="006C619D">
                    <w:rPr>
                      <w:rFonts w:ascii="Calibri" w:eastAsia="Times New Roman" w:hAnsi="Calibri" w:cs="Calibri"/>
                      <w:color w:val="000000"/>
                      <w:sz w:val="18"/>
                      <w:szCs w:val="18"/>
                      <w:lang w:eastAsia="en-CA"/>
                    </w:rPr>
                    <w:t>A1-A3</w:t>
                  </w:r>
                </w:p>
              </w:tc>
              <w:tc>
                <w:tcPr>
                  <w:tcW w:w="689" w:type="dxa"/>
                  <w:tcBorders>
                    <w:top w:val="single" w:sz="4" w:space="0" w:color="auto"/>
                    <w:left w:val="nil"/>
                    <w:bottom w:val="single" w:sz="8" w:space="0" w:color="auto"/>
                    <w:right w:val="single" w:sz="4" w:space="0" w:color="auto"/>
                  </w:tcBorders>
                  <w:shd w:val="clear" w:color="auto" w:fill="auto"/>
                  <w:noWrap/>
                  <w:tcMar>
                    <w:top w:w="28" w:type="dxa"/>
                    <w:left w:w="28" w:type="dxa"/>
                    <w:bottom w:w="28" w:type="dxa"/>
                    <w:right w:w="28" w:type="dxa"/>
                  </w:tcMar>
                  <w:vAlign w:val="center"/>
                  <w:hideMark/>
                </w:tcPr>
                <w:p w:rsidR="006C619D" w:rsidRPr="006C619D" w:rsidRDefault="006C619D" w:rsidP="006C619D">
                  <w:pPr>
                    <w:spacing w:after="0" w:line="240" w:lineRule="auto"/>
                    <w:jc w:val="center"/>
                    <w:rPr>
                      <w:rFonts w:ascii="Calibri" w:eastAsia="Times New Roman" w:hAnsi="Calibri" w:cs="Calibri"/>
                      <w:color w:val="000000"/>
                      <w:sz w:val="18"/>
                      <w:szCs w:val="18"/>
                      <w:lang w:eastAsia="en-CA"/>
                    </w:rPr>
                  </w:pPr>
                </w:p>
              </w:tc>
              <w:tc>
                <w:tcPr>
                  <w:tcW w:w="834" w:type="dxa"/>
                  <w:tcBorders>
                    <w:top w:val="single" w:sz="4" w:space="0" w:color="auto"/>
                    <w:left w:val="nil"/>
                    <w:bottom w:val="single" w:sz="8" w:space="0" w:color="auto"/>
                    <w:right w:val="single" w:sz="8" w:space="0" w:color="auto"/>
                  </w:tcBorders>
                  <w:shd w:val="clear" w:color="auto" w:fill="auto"/>
                  <w:noWrap/>
                  <w:tcMar>
                    <w:top w:w="28" w:type="dxa"/>
                    <w:left w:w="28" w:type="dxa"/>
                    <w:bottom w:w="28" w:type="dxa"/>
                    <w:right w:w="28" w:type="dxa"/>
                  </w:tcMar>
                  <w:vAlign w:val="center"/>
                  <w:hideMark/>
                </w:tcPr>
                <w:p w:rsidR="006C619D" w:rsidRPr="006C619D" w:rsidRDefault="00450087" w:rsidP="006C619D">
                  <w:pPr>
                    <w:spacing w:after="0" w:line="240" w:lineRule="auto"/>
                    <w:jc w:val="center"/>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54.0</w:t>
                  </w:r>
                  <w:r w:rsidR="006C619D" w:rsidRPr="006C619D">
                    <w:rPr>
                      <w:rFonts w:ascii="Calibri" w:eastAsia="Times New Roman" w:hAnsi="Calibri" w:cs="Calibri"/>
                      <w:color w:val="000000"/>
                      <w:sz w:val="18"/>
                      <w:szCs w:val="18"/>
                      <w:lang w:eastAsia="en-CA"/>
                    </w:rPr>
                    <w:t>%</w:t>
                  </w:r>
                </w:p>
              </w:tc>
            </w:tr>
          </w:tbl>
          <w:p w:rsidR="00F80D2C" w:rsidRDefault="00F80D2C" w:rsidP="00F80D2C">
            <w:pPr>
              <w:spacing w:after="0"/>
            </w:pPr>
          </w:p>
        </w:tc>
        <w:tc>
          <w:tcPr>
            <w:tcW w:w="4788" w:type="dxa"/>
            <w:tcMar>
              <w:top w:w="57" w:type="dxa"/>
              <w:left w:w="57" w:type="dxa"/>
              <w:bottom w:w="57" w:type="dxa"/>
              <w:right w:w="57" w:type="dxa"/>
            </w:tcMar>
            <w:vAlign w:val="center"/>
          </w:tcPr>
          <w:p w:rsidR="00F80D2C" w:rsidRDefault="005A2033" w:rsidP="00F80D2C">
            <w:pPr>
              <w:spacing w:after="0"/>
            </w:pPr>
            <w:r>
              <w:rPr>
                <w:noProof/>
                <w:lang w:eastAsia="en-CA"/>
              </w:rPr>
              <mc:AlternateContent>
                <mc:Choice Requires="wpc">
                  <w:drawing>
                    <wp:inline distT="0" distB="0" distL="0" distR="0">
                      <wp:extent cx="2927350" cy="2378598"/>
                      <wp:effectExtent l="0" t="0" r="0" b="3175"/>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0" name="Rectangle 20"/>
                              <wps:cNvSpPr/>
                              <wps:spPr>
                                <a:xfrm>
                                  <a:off x="1111250" y="120650"/>
                                  <a:ext cx="558460" cy="381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3C" w:rsidRPr="00E92A03" w:rsidRDefault="00B0443C" w:rsidP="00E92A03">
                                    <w:pPr>
                                      <w:spacing w:after="0" w:line="240" w:lineRule="auto"/>
                                      <w:jc w:val="center"/>
                                      <w:rPr>
                                        <w:color w:val="000000" w:themeColor="text1"/>
                                      </w:rPr>
                                    </w:pPr>
                                    <w:r>
                                      <w:rPr>
                                        <w:color w:val="000000" w:themeColor="text1"/>
                                      </w:rPr>
                                      <w:t>r</w:t>
                                    </w:r>
                                    <w:r w:rsidRPr="00E92A03">
                                      <w:rPr>
                                        <w:color w:val="000000" w:themeColor="text1"/>
                                      </w:rPr>
                                      <w:t>oot group</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7" name="Rectangle 67"/>
                              <wps:cNvSpPr/>
                              <wps:spPr>
                                <a:xfrm>
                                  <a:off x="91100" y="455542"/>
                                  <a:ext cx="562950" cy="381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3C" w:rsidRDefault="00B0443C" w:rsidP="00E92A03">
                                    <w:pPr>
                                      <w:pStyle w:val="NormalWeb"/>
                                      <w:spacing w:before="0" w:beforeAutospacing="0" w:after="0" w:afterAutospacing="0" w:line="276" w:lineRule="auto"/>
                                      <w:jc w:val="center"/>
                                    </w:pPr>
                                    <w:r>
                                      <w:rPr>
                                        <w:rFonts w:eastAsia="Calibri"/>
                                        <w:color w:val="000000"/>
                                        <w:sz w:val="22"/>
                                        <w:szCs w:val="22"/>
                                      </w:rPr>
                                      <w:t>A1-A3 group</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68" name="Rectangle 68"/>
                              <wps:cNvSpPr/>
                              <wps:spPr>
                                <a:xfrm>
                                  <a:off x="2179910" y="664800"/>
                                  <a:ext cx="588690" cy="381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3C" w:rsidRDefault="00B0443C" w:rsidP="00E92A03">
                                    <w:pPr>
                                      <w:pStyle w:val="NormalWeb"/>
                                      <w:spacing w:before="0" w:beforeAutospacing="0" w:after="0" w:afterAutospacing="0" w:line="276" w:lineRule="auto"/>
                                      <w:jc w:val="center"/>
                                    </w:pPr>
                                    <w:r>
                                      <w:rPr>
                                        <w:rFonts w:eastAsia="Calibri"/>
                                        <w:color w:val="000000"/>
                                        <w:sz w:val="22"/>
                                        <w:szCs w:val="22"/>
                                      </w:rPr>
                                      <w:t>B1-B6 group</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69" name="Rectangle 69"/>
                              <wps:cNvSpPr/>
                              <wps:spPr>
                                <a:xfrm>
                                  <a:off x="91100" y="1316717"/>
                                  <a:ext cx="385150" cy="381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3C" w:rsidRDefault="00B0443C" w:rsidP="00E92A03">
                                    <w:pPr>
                                      <w:pStyle w:val="NormalWeb"/>
                                      <w:spacing w:before="0" w:beforeAutospacing="0" w:after="0" w:afterAutospacing="0" w:line="276" w:lineRule="auto"/>
                                      <w:jc w:val="center"/>
                                    </w:pPr>
                                    <w:r>
                                      <w:rPr>
                                        <w:rFonts w:eastAsia="Calibri"/>
                                        <w:color w:val="000000"/>
                                        <w:sz w:val="22"/>
                                        <w:szCs w:val="22"/>
                                      </w:rPr>
                                      <w:t xml:space="preserve">A1 </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70" name="Rectangle 70"/>
                              <wps:cNvSpPr/>
                              <wps:spPr>
                                <a:xfrm>
                                  <a:off x="1373800" y="1316650"/>
                                  <a:ext cx="384810" cy="381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3C" w:rsidRDefault="00B0443C" w:rsidP="00E92A03">
                                    <w:pPr>
                                      <w:pStyle w:val="NormalWeb"/>
                                      <w:spacing w:before="0" w:beforeAutospacing="0" w:after="0" w:afterAutospacing="0" w:line="276" w:lineRule="auto"/>
                                      <w:jc w:val="center"/>
                                    </w:pPr>
                                    <w:r>
                                      <w:rPr>
                                        <w:rFonts w:eastAsia="Calibri"/>
                                        <w:color w:val="000000"/>
                                        <w:sz w:val="22"/>
                                        <w:szCs w:val="22"/>
                                      </w:rPr>
                                      <w:t xml:space="preserve">A4 </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74" name="Rectangle 74"/>
                              <wps:cNvSpPr/>
                              <wps:spPr>
                                <a:xfrm>
                                  <a:off x="1869100" y="1316650"/>
                                  <a:ext cx="384810" cy="381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3C" w:rsidRDefault="00B0443C" w:rsidP="00E92A03">
                                    <w:pPr>
                                      <w:pStyle w:val="NormalWeb"/>
                                      <w:spacing w:before="0" w:beforeAutospacing="0" w:after="0" w:afterAutospacing="0" w:line="276" w:lineRule="auto"/>
                                      <w:jc w:val="center"/>
                                    </w:pPr>
                                    <w:r>
                                      <w:rPr>
                                        <w:rFonts w:eastAsia="Calibri"/>
                                        <w:color w:val="000000"/>
                                        <w:sz w:val="22"/>
                                        <w:szCs w:val="22"/>
                                      </w:rPr>
                                      <w:t xml:space="preserve">A5 </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76" name="Rectangle 76"/>
                              <wps:cNvSpPr/>
                              <wps:spPr>
                                <a:xfrm>
                                  <a:off x="398440" y="1950123"/>
                                  <a:ext cx="384810" cy="381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3C" w:rsidRDefault="00B0443C" w:rsidP="00E92A03">
                                    <w:pPr>
                                      <w:pStyle w:val="NormalWeb"/>
                                      <w:spacing w:before="0" w:beforeAutospacing="0" w:after="0" w:afterAutospacing="0" w:line="276" w:lineRule="auto"/>
                                      <w:jc w:val="center"/>
                                    </w:pPr>
                                    <w:r>
                                      <w:rPr>
                                        <w:rFonts w:eastAsia="Calibri"/>
                                        <w:color w:val="000000"/>
                                        <w:sz w:val="22"/>
                                        <w:szCs w:val="22"/>
                                      </w:rPr>
                                      <w:t xml:space="preserve">A2 </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77" name="Rectangle 77"/>
                              <wps:cNvSpPr/>
                              <wps:spPr>
                                <a:xfrm>
                                  <a:off x="900090" y="1950123"/>
                                  <a:ext cx="384810" cy="381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3C" w:rsidRDefault="00B0443C" w:rsidP="00E92A03">
                                    <w:pPr>
                                      <w:pStyle w:val="NormalWeb"/>
                                      <w:spacing w:before="0" w:beforeAutospacing="0" w:after="0" w:afterAutospacing="0" w:line="276" w:lineRule="auto"/>
                                      <w:jc w:val="center"/>
                                    </w:pPr>
                                    <w:r>
                                      <w:rPr>
                                        <w:rFonts w:eastAsia="Calibri"/>
                                        <w:color w:val="000000"/>
                                        <w:sz w:val="22"/>
                                        <w:szCs w:val="22"/>
                                      </w:rPr>
                                      <w:t xml:space="preserve">A3 </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78" name="Rectangle 78"/>
                              <wps:cNvSpPr/>
                              <wps:spPr>
                                <a:xfrm>
                                  <a:off x="592750" y="1316717"/>
                                  <a:ext cx="556600" cy="381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3C" w:rsidRDefault="00B0443C" w:rsidP="00E92A03">
                                    <w:pPr>
                                      <w:pStyle w:val="NormalWeb"/>
                                      <w:spacing w:before="0" w:beforeAutospacing="0" w:after="0" w:afterAutospacing="0" w:line="276" w:lineRule="auto"/>
                                      <w:jc w:val="center"/>
                                    </w:pPr>
                                    <w:r>
                                      <w:rPr>
                                        <w:rFonts w:eastAsia="Calibri"/>
                                        <w:color w:val="000000"/>
                                        <w:sz w:val="22"/>
                                        <w:szCs w:val="22"/>
                                      </w:rPr>
                                      <w:t>A2-A3 group</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8" name="Elbow Connector 28"/>
                              <wps:cNvCnPr>
                                <a:stCxn id="20" idx="1"/>
                                <a:endCxn id="67" idx="0"/>
                              </wps:cNvCnPr>
                              <wps:spPr>
                                <a:xfrm rot="10800000" flipV="1">
                                  <a:off x="372576" y="311150"/>
                                  <a:ext cx="738675" cy="144392"/>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Elbow Connector 47"/>
                              <wps:cNvCnPr>
                                <a:stCxn id="67" idx="2"/>
                                <a:endCxn id="69" idx="0"/>
                              </wps:cNvCnPr>
                              <wps:spPr>
                                <a:xfrm rot="5400000">
                                  <a:off x="88038" y="1032179"/>
                                  <a:ext cx="480175" cy="88900"/>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Elbow Connector 49"/>
                              <wps:cNvCnPr>
                                <a:stCxn id="67" idx="3"/>
                                <a:endCxn id="78" idx="0"/>
                              </wps:cNvCnPr>
                              <wps:spPr>
                                <a:xfrm>
                                  <a:off x="654050" y="646042"/>
                                  <a:ext cx="217000" cy="670675"/>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Elbow Connector 50"/>
                              <wps:cNvCnPr>
                                <a:stCxn id="20" idx="2"/>
                                <a:endCxn id="70" idx="0"/>
                              </wps:cNvCnPr>
                              <wps:spPr>
                                <a:xfrm rot="16200000" flipH="1">
                                  <a:off x="1070842" y="821287"/>
                                  <a:ext cx="815000" cy="175725"/>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Elbow Connector 51"/>
                              <wps:cNvCnPr>
                                <a:stCxn id="20" idx="2"/>
                                <a:endCxn id="74" idx="0"/>
                              </wps:cNvCnPr>
                              <wps:spPr>
                                <a:xfrm rot="16200000" flipH="1">
                                  <a:off x="1318492" y="573637"/>
                                  <a:ext cx="815000" cy="671025"/>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Elbow Connector 52"/>
                              <wps:cNvCnPr>
                                <a:endCxn id="68" idx="0"/>
                              </wps:cNvCnPr>
                              <wps:spPr>
                                <a:xfrm>
                                  <a:off x="1669710" y="311149"/>
                                  <a:ext cx="804545" cy="353651"/>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Elbow Connector 53"/>
                              <wps:cNvCnPr>
                                <a:stCxn id="78" idx="2"/>
                                <a:endCxn id="77" idx="0"/>
                              </wps:cNvCnPr>
                              <wps:spPr>
                                <a:xfrm rot="16200000" flipH="1">
                                  <a:off x="855569" y="1713197"/>
                                  <a:ext cx="252406" cy="221445"/>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Elbow Connector 59"/>
                              <wps:cNvCnPr>
                                <a:stCxn id="78" idx="2"/>
                                <a:endCxn id="76" idx="0"/>
                              </wps:cNvCnPr>
                              <wps:spPr>
                                <a:xfrm rot="5400000">
                                  <a:off x="604773" y="1683416"/>
                                  <a:ext cx="252351" cy="280205"/>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Text Box 61"/>
                              <wps:cNvSpPr txBox="1"/>
                              <wps:spPr>
                                <a:xfrm>
                                  <a:off x="504580" y="57642"/>
                                  <a:ext cx="149470" cy="208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443C" w:rsidRDefault="00B0443C" w:rsidP="00450087">
                                    <w:pPr>
                                      <w:spacing w:after="0" w:line="240" w:lineRule="auto"/>
                                    </w:pPr>
                                    <w:r>
                                      <w:t>1</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noAutofit/>
                              </wps:bodyPr>
                            </wps:wsp>
                            <wps:wsp>
                              <wps:cNvPr id="85" name="Text Box 61"/>
                              <wps:cNvSpPr txBox="1"/>
                              <wps:spPr>
                                <a:xfrm>
                                  <a:off x="1373800" y="996015"/>
                                  <a:ext cx="149225" cy="207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443C" w:rsidRDefault="00B0443C" w:rsidP="00450087">
                                    <w:pPr>
                                      <w:pStyle w:val="NormalWeb"/>
                                      <w:spacing w:before="0" w:beforeAutospacing="0" w:after="0" w:afterAutospacing="0" w:line="276" w:lineRule="auto"/>
                                    </w:pPr>
                                    <w:r>
                                      <w:rPr>
                                        <w:rFonts w:eastAsia="Calibri"/>
                                        <w:sz w:val="22"/>
                                        <w:szCs w:val="22"/>
                                      </w:rPr>
                                      <w:t>2</w:t>
                                    </w:r>
                                  </w:p>
                                </w:txbxContent>
                              </wps:txbx>
                              <wps:bodyPr rot="0" spcFirstLastPara="0" vert="horz" wrap="none" lIns="36000" tIns="0" rIns="36000" bIns="0" numCol="1" spcCol="0" rtlCol="0" fromWordArt="0" anchor="t" anchorCtr="0" forceAA="0" compatLnSpc="1">
                                <a:prstTxWarp prst="textNoShape">
                                  <a:avLst/>
                                </a:prstTxWarp>
                                <a:noAutofit/>
                              </wps:bodyPr>
                            </wps:wsp>
                            <wps:wsp>
                              <wps:cNvPr id="86" name="Text Box 61"/>
                              <wps:cNvSpPr txBox="1"/>
                              <wps:spPr>
                                <a:xfrm>
                                  <a:off x="1869100" y="995836"/>
                                  <a:ext cx="149225" cy="207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443C" w:rsidRDefault="00B0443C" w:rsidP="00450087">
                                    <w:pPr>
                                      <w:pStyle w:val="NormalWeb"/>
                                      <w:spacing w:before="0" w:beforeAutospacing="0" w:after="0" w:afterAutospacing="0" w:line="276" w:lineRule="auto"/>
                                    </w:pPr>
                                    <w:r>
                                      <w:rPr>
                                        <w:rFonts w:eastAsia="Calibri"/>
                                        <w:sz w:val="22"/>
                                        <w:szCs w:val="22"/>
                                      </w:rPr>
                                      <w:t>3</w:t>
                                    </w:r>
                                  </w:p>
                                </w:txbxContent>
                              </wps:txbx>
                              <wps:bodyPr rot="0" spcFirstLastPara="0" vert="horz" wrap="none" lIns="36000" tIns="0" rIns="36000" bIns="0" numCol="1" spcCol="0" rtlCol="0" fromWordArt="0" anchor="t" anchorCtr="0" forceAA="0" compatLnSpc="1">
                                <a:prstTxWarp prst="textNoShape">
                                  <a:avLst/>
                                </a:prstTxWarp>
                                <a:noAutofit/>
                              </wps:bodyPr>
                            </wps:wsp>
                            <wps:wsp>
                              <wps:cNvPr id="87" name="Text Box 61"/>
                              <wps:cNvSpPr txBox="1"/>
                              <wps:spPr>
                                <a:xfrm>
                                  <a:off x="2111064" y="51527"/>
                                  <a:ext cx="149225" cy="207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443C" w:rsidRDefault="00B0443C" w:rsidP="00450087">
                                    <w:pPr>
                                      <w:pStyle w:val="NormalWeb"/>
                                      <w:spacing w:before="0" w:beforeAutospacing="0" w:after="0" w:afterAutospacing="0" w:line="276" w:lineRule="auto"/>
                                    </w:pPr>
                                    <w:r>
                                      <w:rPr>
                                        <w:rFonts w:eastAsia="Calibri"/>
                                        <w:sz w:val="22"/>
                                        <w:szCs w:val="22"/>
                                      </w:rPr>
                                      <w:t>4</w:t>
                                    </w:r>
                                  </w:p>
                                </w:txbxContent>
                              </wps:txbx>
                              <wps:bodyPr rot="0" spcFirstLastPara="0" vert="horz" wrap="none" lIns="36000" tIns="0" rIns="36000" bIns="0" numCol="1" spcCol="0" rtlCol="0" fromWordArt="0" anchor="t" anchorCtr="0" forceAA="0" compatLnSpc="1">
                                <a:prstTxWarp prst="textNoShape">
                                  <a:avLst/>
                                </a:prstTxWarp>
                                <a:noAutofit/>
                              </wps:bodyPr>
                            </wps:wsp>
                            <wps:wsp>
                              <wps:cNvPr id="88" name="Text Box 61"/>
                              <wps:cNvSpPr txBox="1"/>
                              <wps:spPr>
                                <a:xfrm>
                                  <a:off x="42942" y="920376"/>
                                  <a:ext cx="334890" cy="207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443C" w:rsidRDefault="00B0443C" w:rsidP="00450087">
                                    <w:pPr>
                                      <w:pStyle w:val="NormalWeb"/>
                                      <w:spacing w:before="0" w:beforeAutospacing="0" w:after="0" w:afterAutospacing="0" w:line="276" w:lineRule="auto"/>
                                    </w:pPr>
                                    <w:r>
                                      <w:rPr>
                                        <w:rFonts w:eastAsia="Calibri"/>
                                        <w:sz w:val="22"/>
                                        <w:szCs w:val="22"/>
                                      </w:rPr>
                                      <w:t>46%</w:t>
                                    </w:r>
                                  </w:p>
                                </w:txbxContent>
                              </wps:txbx>
                              <wps:bodyPr rot="0" spcFirstLastPara="0" vert="horz" wrap="none" lIns="36000" tIns="0" rIns="36000" bIns="0" numCol="1" spcCol="0" rtlCol="0" fromWordArt="0" anchor="t" anchorCtr="0" forceAA="0" compatLnSpc="1">
                                <a:prstTxWarp prst="textNoShape">
                                  <a:avLst/>
                                </a:prstTxWarp>
                                <a:noAutofit/>
                              </wps:bodyPr>
                            </wps:wsp>
                            <wps:wsp>
                              <wps:cNvPr id="89" name="Text Box 61"/>
                              <wps:cNvSpPr txBox="1"/>
                              <wps:spPr>
                                <a:xfrm>
                                  <a:off x="603044" y="919608"/>
                                  <a:ext cx="357750" cy="207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443C" w:rsidRDefault="00B0443C" w:rsidP="00450087">
                                    <w:pPr>
                                      <w:pStyle w:val="NormalWeb"/>
                                      <w:spacing w:before="0" w:beforeAutospacing="0" w:after="0" w:afterAutospacing="0" w:line="276" w:lineRule="auto"/>
                                    </w:pPr>
                                    <w:r>
                                      <w:t>54%</w:t>
                                    </w:r>
                                  </w:p>
                                </w:txbxContent>
                              </wps:txbx>
                              <wps:bodyPr rot="0" spcFirstLastPara="0" vert="horz" wrap="none" lIns="36000" tIns="0" rIns="36000" bIns="0" numCol="1" spcCol="0" rtlCol="0" fromWordArt="0" anchor="t" anchorCtr="0" forceAA="0" compatLnSpc="1">
                                <a:prstTxWarp prst="textNoShape">
                                  <a:avLst/>
                                </a:prstTxWarp>
                                <a:noAutofit/>
                              </wps:bodyPr>
                            </wps:wsp>
                          </wpc:wpc>
                        </a:graphicData>
                      </a:graphic>
                    </wp:inline>
                  </w:drawing>
                </mc:Choice>
                <mc:Fallback>
                  <w:pict>
                    <v:group id="Canvas 3" o:spid="_x0000_s1026" editas="canvas" style="width:230.5pt;height:187.3pt;mso-position-horizontal-relative:char;mso-position-vertical-relative:line" coordsize="29273,2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">
                      <v:shape id="_x0000_s1027" type="#_x0000_t75" style="position:absolute;width:29273;height:23780;visibility:visible;mso-wrap-style:square">
                        <v:fill o:detectmouseclick="t"/>
                        <v:path o:connecttype="none"/>
                      </v:shape>
                      <v:rect id="Rectangle 20" o:spid="_x0000_s1028" style="position:absolute;left:11112;top:1206;width:5585;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MBF8AA&#10;AADbAAAADwAAAGRycy9kb3ducmV2LnhtbERPy2oCMRTdF/yHcIXuasahSBmNIoLQLju2he6uk+tk&#10;dHITJ+k8/r5ZFLo8nPdmN9pW9NSFxrGC5SIDQVw53XCt4ON0fHoBESKyxtYxKZgowG47e9hgod3A&#10;79SXsRYphEOBCkyMvpAyVIYshoXzxIm7uM5iTLCrpe5wSOG2lXmWraTFhlODQU8HQ9Wt/LEKxvPq&#10;2U9XPPnvr2V40+aW3z8zpR7n434NItIY/8V/7letIE/r05f0A+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JMBF8AAAADbAAAADwAAAAAAAAAAAAAAAACYAgAAZHJzL2Rvd25y&#10;ZXYueG1sUEsFBgAAAAAEAAQA9QAAAIUDAAAAAA==&#10;" filled="f" strokecolor="black [3213]" strokeweight="1pt">
                        <v:textbox inset="1mm,0,1mm,0">
                          <w:txbxContent>
                            <w:p w:rsidR="00B0443C" w:rsidRPr="00E92A03" w:rsidRDefault="00B0443C" w:rsidP="00E92A03">
                              <w:pPr>
                                <w:spacing w:after="0" w:line="240" w:lineRule="auto"/>
                                <w:jc w:val="center"/>
                                <w:rPr>
                                  <w:color w:val="000000" w:themeColor="text1"/>
                                </w:rPr>
                              </w:pPr>
                              <w:r>
                                <w:rPr>
                                  <w:color w:val="000000" w:themeColor="text1"/>
                                </w:rPr>
                                <w:t>r</w:t>
                              </w:r>
                              <w:r w:rsidRPr="00E92A03">
                                <w:rPr>
                                  <w:color w:val="000000" w:themeColor="text1"/>
                                </w:rPr>
                                <w:t>oot group</w:t>
                              </w:r>
                            </w:p>
                          </w:txbxContent>
                        </v:textbox>
                      </v:rect>
                      <v:rect id="Rectangle 67" o:spid="_x0000_s1029" style="position:absolute;left:911;top:4555;width:5629;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Ago8MA&#10;AADbAAAADwAAAGRycy9kb3ducmV2LnhtbESPQWsCMRSE70L/Q3iF3jS7S1nLapRSKLTHqi309tw8&#10;N6ubl3ST6vrvjSB4HGbmG2a+HGwnjtSH1rGCfJKBIK6dbrlRsFm/j19AhIissXNMCs4UYLl4GM2x&#10;0u7EX3RcxUYkCIcKFZgYfSVlqA1ZDBPniZO3c73FmGTfSN3jKcFtJ4ssK6XFltOCQU9vhurD6t8q&#10;GLblsz/vce1/f/Lwqc2h+PvOlHp6HF5nICIN8R6+tT+0gnIK1y/pB8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Ago8MAAADbAAAADwAAAAAAAAAAAAAAAACYAgAAZHJzL2Rv&#10;d25yZXYueG1sUEsFBgAAAAAEAAQA9QAAAIgDAAAAAA==&#10;" filled="f" strokecolor="black [3213]" strokeweight="1pt">
                        <v:textbox inset="1mm,0,1mm,0">
                          <w:txbxContent>
                            <w:p w:rsidR="00B0443C" w:rsidRDefault="00B0443C" w:rsidP="00E92A03">
                              <w:pPr>
                                <w:pStyle w:val="NormalWeb"/>
                                <w:spacing w:before="0" w:beforeAutospacing="0" w:after="0" w:afterAutospacing="0" w:line="276" w:lineRule="auto"/>
                                <w:jc w:val="center"/>
                              </w:pPr>
                              <w:r>
                                <w:rPr>
                                  <w:rFonts w:eastAsia="Calibri"/>
                                  <w:color w:val="000000"/>
                                  <w:sz w:val="22"/>
                                  <w:szCs w:val="22"/>
                                </w:rPr>
                                <w:t>A1-A3 group</w:t>
                              </w:r>
                            </w:p>
                          </w:txbxContent>
                        </v:textbox>
                      </v:rect>
                      <v:rect id="Rectangle 68" o:spid="_x0000_s1030" style="position:absolute;left:21799;top:6648;width:5887;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00cAA&#10;AADbAAAADwAAAGRycy9kb3ducmV2LnhtbERPz2vCMBS+C/sfwhvspqkyinRGGYOBHtfOwW5vzbOp&#10;Ni9Zk9X2vzcHYceP7/dmN9pODNSH1rGC5SIDQVw73XKj4LN6n69BhIissXNMCiYKsNs+zDZYaHfl&#10;DxrK2IgUwqFABSZGX0gZakMWw8J54sSdXG8xJtg3Uvd4TeG2k6ssy6XFllODQU9vhupL+WcVjD/5&#10;s5/OWPnvr2U4aHNZ/R4zpZ4ex9cXEJHG+C++u/daQZ7Gpi/pB8jt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00cAAAADbAAAADwAAAAAAAAAAAAAAAACYAgAAZHJzL2Rvd25y&#10;ZXYueG1sUEsFBgAAAAAEAAQA9QAAAIUDAAAAAA==&#10;" filled="f" strokecolor="black [3213]" strokeweight="1pt">
                        <v:textbox inset="1mm,0,1mm,0">
                          <w:txbxContent>
                            <w:p w:rsidR="00B0443C" w:rsidRDefault="00B0443C" w:rsidP="00E92A03">
                              <w:pPr>
                                <w:pStyle w:val="NormalWeb"/>
                                <w:spacing w:before="0" w:beforeAutospacing="0" w:after="0" w:afterAutospacing="0" w:line="276" w:lineRule="auto"/>
                                <w:jc w:val="center"/>
                              </w:pPr>
                              <w:r>
                                <w:rPr>
                                  <w:rFonts w:eastAsia="Calibri"/>
                                  <w:color w:val="000000"/>
                                  <w:sz w:val="22"/>
                                  <w:szCs w:val="22"/>
                                </w:rPr>
                                <w:t>B1-B6 group</w:t>
                              </w:r>
                            </w:p>
                          </w:txbxContent>
                        </v:textbox>
                      </v:rect>
                      <v:rect id="Rectangle 69" o:spid="_x0000_s1031" style="position:absolute;left:911;top:13167;width:3851;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MRSsMA&#10;AADbAAAADwAAAGRycy9kb3ducmV2LnhtbESPQWsCMRSE70L/Q3iF3jS7S1nsapRSKLTHqi309tw8&#10;N6ubl3ST6vrvjSB4HGbmG2a+HGwnjtSH1rGCfJKBIK6dbrlRsFm/j6cgQkTW2DkmBWcKsFw8jOZY&#10;aXfiLzquYiMShEOFCkyMvpIy1IYshonzxMnbud5iTLJvpO7xlOC2k0WWldJiy2nBoKc3Q/Vh9W8V&#10;DNvy2Z/3uPa/P3n41OZQ/H1nSj09Dq8zEJGGeA/f2h9aQfkC1y/pB8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8MRSsMAAADbAAAADwAAAAAAAAAAAAAAAACYAgAAZHJzL2Rv&#10;d25yZXYueG1sUEsFBgAAAAAEAAQA9QAAAIgDAAAAAA==&#10;" filled="f" strokecolor="black [3213]" strokeweight="1pt">
                        <v:textbox inset="1mm,0,1mm,0">
                          <w:txbxContent>
                            <w:p w:rsidR="00B0443C" w:rsidRDefault="00B0443C" w:rsidP="00E92A03">
                              <w:pPr>
                                <w:pStyle w:val="NormalWeb"/>
                                <w:spacing w:before="0" w:beforeAutospacing="0" w:after="0" w:afterAutospacing="0" w:line="276" w:lineRule="auto"/>
                                <w:jc w:val="center"/>
                              </w:pPr>
                              <w:r>
                                <w:rPr>
                                  <w:rFonts w:eastAsia="Calibri"/>
                                  <w:color w:val="000000"/>
                                  <w:sz w:val="22"/>
                                  <w:szCs w:val="22"/>
                                </w:rPr>
                                <w:t xml:space="preserve">A1 </w:t>
                              </w:r>
                            </w:p>
                          </w:txbxContent>
                        </v:textbox>
                      </v:rect>
                      <v:rect id="Rectangle 70" o:spid="_x0000_s1032" style="position:absolute;left:13738;top:13166;width:3848;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uCr8A&#10;AADbAAAADwAAAGRycy9kb3ducmV2LnhtbERPy4rCMBTdC/MP4Q6401QRlWqUYUDQpU+Y3Z3m2nRs&#10;bjJN1Pr3ZiG4PJz3fNnaWtyoCZVjBYN+BoK4cLriUsFhv+pNQYSIrLF2TAoeFGC5+OjMMdfuzlu6&#10;7WIpUgiHHBWYGH0uZSgMWQx954kTd3aNxZhgU0rd4D2F21oOs2wsLVacGgx6+jZUXHZXq6D9HY/8&#10;4w/3/uc0CBttLsP/Y6ZU97P9moGI1Ma3+OVeawWTtD59ST9AL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IC4KvwAAANsAAAAPAAAAAAAAAAAAAAAAAJgCAABkcnMvZG93bnJl&#10;di54bWxQSwUGAAAAAAQABAD1AAAAhAMAAAAA&#10;" filled="f" strokecolor="black [3213]" strokeweight="1pt">
                        <v:textbox inset="1mm,0,1mm,0">
                          <w:txbxContent>
                            <w:p w:rsidR="00B0443C" w:rsidRDefault="00B0443C" w:rsidP="00E92A03">
                              <w:pPr>
                                <w:pStyle w:val="NormalWeb"/>
                                <w:spacing w:before="0" w:beforeAutospacing="0" w:after="0" w:afterAutospacing="0" w:line="276" w:lineRule="auto"/>
                                <w:jc w:val="center"/>
                              </w:pPr>
                              <w:r>
                                <w:rPr>
                                  <w:rFonts w:eastAsia="Calibri"/>
                                  <w:color w:val="000000"/>
                                  <w:sz w:val="22"/>
                                  <w:szCs w:val="22"/>
                                </w:rPr>
                                <w:t xml:space="preserve">A4 </w:t>
                              </w:r>
                            </w:p>
                          </w:txbxContent>
                        </v:textbox>
                      </v:rect>
                      <v:rect id="Rectangle 74" o:spid="_x0000_s1033" style="position:absolute;left:18691;top:13166;width:3848;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soCcIA&#10;AADbAAAADwAAAGRycy9kb3ducmV2LnhtbESPQWsCMRSE7wX/Q3hCbzWriJXVKCIU6rFaBW/PzXOz&#10;unmJm6jrvzdCocdhZr5hpvPW1uJGTagcK+j3MhDEhdMVlwp+N18fYxAhImusHZOCBwWYzzpvU8y1&#10;u/MP3daxFAnCIUcFJkafSxkKQxZDz3ni5B1dYzEm2ZRSN3hPcFvLQZaNpMWK04JBT0tDxXl9tQra&#10;w2joHyfc+P2uH1banAeXbabUe7ddTEBEauN/+K/9rRV8DuH1Jf0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GygJwgAAANsAAAAPAAAAAAAAAAAAAAAAAJgCAABkcnMvZG93&#10;bnJldi54bWxQSwUGAAAAAAQABAD1AAAAhwMAAAAA&#10;" filled="f" strokecolor="black [3213]" strokeweight="1pt">
                        <v:textbox inset="1mm,0,1mm,0">
                          <w:txbxContent>
                            <w:p w:rsidR="00B0443C" w:rsidRDefault="00B0443C" w:rsidP="00E92A03">
                              <w:pPr>
                                <w:pStyle w:val="NormalWeb"/>
                                <w:spacing w:before="0" w:beforeAutospacing="0" w:after="0" w:afterAutospacing="0" w:line="276" w:lineRule="auto"/>
                                <w:jc w:val="center"/>
                              </w:pPr>
                              <w:r>
                                <w:rPr>
                                  <w:rFonts w:eastAsia="Calibri"/>
                                  <w:color w:val="000000"/>
                                  <w:sz w:val="22"/>
                                  <w:szCs w:val="22"/>
                                </w:rPr>
                                <w:t xml:space="preserve">A5 </w:t>
                              </w:r>
                            </w:p>
                          </w:txbxContent>
                        </v:textbox>
                      </v:rect>
                      <v:rect id="Rectangle 76" o:spid="_x0000_s1034" style="position:absolute;left:3984;top:19501;width:3848;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UT5cMA&#10;AADbAAAADwAAAGRycy9kb3ducmV2LnhtbESPQWsCMRSE70L/Q3iF3jS7S1nLapRSKLTHqi309tw8&#10;N6ubl3ST6vrvjSB4HGbmG2a+HGwnjtSH1rGCfJKBIK6dbrlRsFm/j19AhIissXNMCs4UYLl4GM2x&#10;0u7EX3RcxUYkCIcKFZgYfSVlqA1ZDBPniZO3c73FmGTfSN3jKcFtJ4ssK6XFltOCQU9vhurD6t8q&#10;GLblsz/vce1/f/Lwqc2h+PvOlHp6HF5nICIN8R6+tT+0gmkJ1y/pB8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UT5cMAAADbAAAADwAAAAAAAAAAAAAAAACYAgAAZHJzL2Rv&#10;d25yZXYueG1sUEsFBgAAAAAEAAQA9QAAAIgDAAAAAA==&#10;" filled="f" strokecolor="black [3213]" strokeweight="1pt">
                        <v:textbox inset="1mm,0,1mm,0">
                          <w:txbxContent>
                            <w:p w:rsidR="00B0443C" w:rsidRDefault="00B0443C" w:rsidP="00E92A03">
                              <w:pPr>
                                <w:pStyle w:val="NormalWeb"/>
                                <w:spacing w:before="0" w:beforeAutospacing="0" w:after="0" w:afterAutospacing="0" w:line="276" w:lineRule="auto"/>
                                <w:jc w:val="center"/>
                              </w:pPr>
                              <w:r>
                                <w:rPr>
                                  <w:rFonts w:eastAsia="Calibri"/>
                                  <w:color w:val="000000"/>
                                  <w:sz w:val="22"/>
                                  <w:szCs w:val="22"/>
                                </w:rPr>
                                <w:t xml:space="preserve">A2 </w:t>
                              </w:r>
                            </w:p>
                          </w:txbxContent>
                        </v:textbox>
                      </v:rect>
                      <v:rect id="Rectangle 77" o:spid="_x0000_s1035" style="position:absolute;left:9000;top:19501;width:3849;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m2fsQA&#10;AADbAAAADwAAAGRycy9kb3ducmV2LnhtbESPzWrDMBCE74W+g9hCb7GcUJLiRDGlEEiOzU8ht421&#10;sVxbK9VSEuftq0Khx2FmvmEW5WA7caU+NI4VjLMcBHHldMO1gv1uNXoFESKyxs4xKbhTgHL5+LDA&#10;Qrsbf9B1G2uRIBwKVGBi9IWUoTJkMWTOEyfv7HqLMcm+lrrHW4LbTk7yfCotNpwWDHp6N1S124tV&#10;MJymL/7+hTt//ByHjTbt5PuQK/X8NLzNQUQa4n/4r73WCmYz+P2Sf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Jtn7EAAAA2wAAAA8AAAAAAAAAAAAAAAAAmAIAAGRycy9k&#10;b3ducmV2LnhtbFBLBQYAAAAABAAEAPUAAACJAwAAAAA=&#10;" filled="f" strokecolor="black [3213]" strokeweight="1pt">
                        <v:textbox inset="1mm,0,1mm,0">
                          <w:txbxContent>
                            <w:p w:rsidR="00B0443C" w:rsidRDefault="00B0443C" w:rsidP="00E92A03">
                              <w:pPr>
                                <w:pStyle w:val="NormalWeb"/>
                                <w:spacing w:before="0" w:beforeAutospacing="0" w:after="0" w:afterAutospacing="0" w:line="276" w:lineRule="auto"/>
                                <w:jc w:val="center"/>
                              </w:pPr>
                              <w:r>
                                <w:rPr>
                                  <w:rFonts w:eastAsia="Calibri"/>
                                  <w:color w:val="000000"/>
                                  <w:sz w:val="22"/>
                                  <w:szCs w:val="22"/>
                                </w:rPr>
                                <w:t xml:space="preserve">A3 </w:t>
                              </w:r>
                            </w:p>
                          </w:txbxContent>
                        </v:textbox>
                      </v:rect>
                      <v:rect id="Rectangle 78" o:spid="_x0000_s1036" style="position:absolute;left:5927;top:13167;width:5566;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YiDL8A&#10;AADbAAAADwAAAGRycy9kb3ducmV2LnhtbERPy4rCMBTdC/MP4Q6401QRlWqUYUDQpU+Y3Z3m2nRs&#10;bjJN1Pr3ZiG4PJz3fNnaWtyoCZVjBYN+BoK4cLriUsFhv+pNQYSIrLF2TAoeFGC5+OjMMdfuzlu6&#10;7WIpUgiHHBWYGH0uZSgMWQx954kTd3aNxZhgU0rd4D2F21oOs2wsLVacGgx6+jZUXHZXq6D9HY/8&#10;4w/3/uc0CBttLsP/Y6ZU97P9moGI1Ma3+OVeawWTNDZ9ST9AL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ViIMvwAAANsAAAAPAAAAAAAAAAAAAAAAAJgCAABkcnMvZG93bnJl&#10;di54bWxQSwUGAAAAAAQABAD1AAAAhAMAAAAA&#10;" filled="f" strokecolor="black [3213]" strokeweight="1pt">
                        <v:textbox inset="1mm,0,1mm,0">
                          <w:txbxContent>
                            <w:p w:rsidR="00B0443C" w:rsidRDefault="00B0443C" w:rsidP="00E92A03">
                              <w:pPr>
                                <w:pStyle w:val="NormalWeb"/>
                                <w:spacing w:before="0" w:beforeAutospacing="0" w:after="0" w:afterAutospacing="0" w:line="276" w:lineRule="auto"/>
                                <w:jc w:val="center"/>
                              </w:pPr>
                              <w:r>
                                <w:rPr>
                                  <w:rFonts w:eastAsia="Calibri"/>
                                  <w:color w:val="000000"/>
                                  <w:sz w:val="22"/>
                                  <w:szCs w:val="22"/>
                                </w:rPr>
                                <w:t>A2-A3 group</w:t>
                              </w:r>
                            </w:p>
                          </w:txbxContent>
                        </v:textbox>
                      </v:rect>
                      <v:shapetype id="_x0000_t33" coordsize="21600,21600" o:spt="33" o:oned="t" path="m,l21600,r,21600e" filled="f">
                        <v:stroke joinstyle="miter"/>
                        <v:path arrowok="t" fillok="f" o:connecttype="none"/>
                        <o:lock v:ext="edit" shapetype="t"/>
                      </v:shapetype>
                      <v:shape id="Elbow Connector 28" o:spid="_x0000_s1037" type="#_x0000_t33" style="position:absolute;left:3725;top:3111;width:7387;height:1444;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tosAAAADbAAAADwAAAGRycy9kb3ducmV2LnhtbERPS0sDMRC+C/6HMEJvNmsPxa5NSxGF&#10;Uj3Yx8XbsBk3i5vJkkzT1V9vDkKPH997uR59rzLF1AU28DCtQBE3wXbcGjgdX+8fQSVBttgHJgM/&#10;lGC9ur1ZYm3DhfeUD9KqEsKpRgNOZKi1To0jj2kaBuLCfYXoUQqMrbYRLyXc93pWVXPtsePS4HCg&#10;Z0fN9+HsDXzGXxwWb/lD5MVt3s9Z8s4tjJncjZsnUEKjXMX/7q01MCtjy5fyA/Tq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p7aLAAAAA2wAAAA8AAAAAAAAAAAAAAAAA&#10;oQIAAGRycy9kb3ducmV2LnhtbFBLBQYAAAAABAAEAPkAAACOAwAAAAA=&#10;" strokecolor="black [321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7" o:spid="_x0000_s1038" type="#_x0000_t34" style="position:absolute;left:880;top:10321;width:4802;height:88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6s8YAAADbAAAADwAAAGRycy9kb3ducmV2LnhtbESPQWvCQBSE74L/YXmF3symUqqkrqKC&#10;RWilGFNob8/sMwlm34bs1sR/3xWEHoeZ+YaZLXpTiwu1rrKs4CmKQRDnVldcKMgOm9EUhPPIGmvL&#10;pOBKDhbz4WCGibYd7+mS+kIECLsEFZTeN4mULi/JoItsQxy8k20N+iDbQuoWuwA3tRzH8Ys0WHFY&#10;KLGhdUn5Of01CtbH7Oec7T5W6dd1//3m309b030q9fjQL19BeOr9f/je3moFzxO4fQk/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urPGAAAA2wAAAA8AAAAAAAAA&#10;AAAAAAAAoQIAAGRycy9kb3ducmV2LnhtbFBLBQYAAAAABAAEAPkAAACUAwAAAAA=&#10;" strokecolor="black [3213]"/>
                      <v:shape id="Elbow Connector 49" o:spid="_x0000_s1039" type="#_x0000_t33" style="position:absolute;left:6540;top:6460;width:2170;height:670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LsEAAADbAAAADwAAAGRycy9kb3ducmV2LnhtbESPQYvCMBSE78L+h/AWvIimiuxqbRRx&#10;Ebxu9bK3R/PalG1eShNr/fdGEDwOM/MNk+0G24ieOl87VjCfJSCIC6drrhRczsfpCoQPyBobx6Tg&#10;Th52249Rhql2N/6lPg+ViBD2KSowIbSplL4wZNHPXEscvdJ1FkOUXSV1h7cIt41cJMmXtFhzXDDY&#10;0sFQ8Z9frQLMD3ttvu9l/0fXn4vRk9M8J6XGn8N+AyLQEN7hV/ukFSzX8PwSf4D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b7YuwQAAANsAAAAPAAAAAAAAAAAAAAAA&#10;AKECAABkcnMvZG93bnJldi54bWxQSwUGAAAAAAQABAD5AAAAjwMAAAAA&#10;" strokecolor="black [3213]"/>
                      <v:shape id="Elbow Connector 50" o:spid="_x0000_s1040" type="#_x0000_t34" style="position:absolute;left:10708;top:8212;width:8150;height:175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PH9sIAAADbAAAADwAAAGRycy9kb3ducmV2LnhtbERPz2vCMBS+D/wfwhN2m+mEbdIZiwiC&#10;MhCmHvT2aN6ads1LTWLt9tcvh4HHj+/3vBhsK3ryoXas4HmSgSAuna65UnA8rJ9mIEJE1tg6JgU/&#10;FKBYjB7mmGt340/q97ESKYRDjgpMjF0uZSgNWQwT1xEn7st5izFBX0nt8ZbCbSunWfYqLdacGgx2&#10;tDJUfu+vVsHHcbkjh7+npmzeLr2fbc3uvFXqcTws30FEGuJd/O/eaAUvaX36kn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zPH9sIAAADbAAAADwAAAAAAAAAAAAAA&#10;AAChAgAAZHJzL2Rvd25yZXYueG1sUEsFBgAAAAAEAAQA+QAAAJADAAAAAA==&#10;" strokecolor="black [3213]"/>
                      <v:shape id="Elbow Connector 51" o:spid="_x0000_s1041" type="#_x0000_t34" style="position:absolute;left:13185;top:5735;width:8150;height:671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9ibcQAAADbAAAADwAAAGRycy9kb3ducmV2LnhtbESPQWsCMRSE7wX/Q3iCt5q1oJXVKCIU&#10;KoJQ60Fvj81zs7p52SZxXfvrm0Khx2FmvmHmy87WoiUfKscKRsMMBHHhdMWlgsPn2/MURIjIGmvH&#10;pOBBAZaL3tMcc+3u/EHtPpYiQTjkqMDE2ORShsKQxTB0DXHyzs5bjEn6UmqP9wS3tXzJsom0WHFa&#10;MNjQ2lBx3d+sgu1htSOH38dLcXn9av10Y3anjVKDfreagYjUxf/wX/tdKxiP4PdL+gFy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f2JtxAAAANsAAAAPAAAAAAAAAAAA&#10;AAAAAKECAABkcnMvZG93bnJldi54bWxQSwUGAAAAAAQABAD5AAAAkgMAAAAA&#10;" strokecolor="black [3213]"/>
                      <v:shape id="Elbow Connector 52" o:spid="_x0000_s1042" type="#_x0000_t33" style="position:absolute;left:16697;top:3111;width:8045;height:353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KygsIAAADbAAAADwAAAGRycy9kb3ducmV2LnhtbESPwWrDMBBE74X+g9hAL6WWY2haXCsh&#10;pBRyrZNLbou1tkyslbFkx/77qhDIcZiZN0yxm20nJhp861jBOklBEFdOt9woOJ9+3j5B+ICssXNM&#10;ChbysNs+PxWYa3fjX5rK0IgIYZ+jAhNCn0vpK0MWfeJ64ujVbrAYohwaqQe8RbjtZJamG2mx5bhg&#10;sKeDoepajlYBloe9Nh9LPV1o/D4b/Xpcl6TUy2ref4EINIdH+N4+agXvGfx/iT9Ab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KygsIAAADbAAAADwAAAAAAAAAAAAAA&#10;AAChAgAAZHJzL2Rvd25yZXYueG1sUEsFBgAAAAAEAAQA+QAAAJADAAAAAA==&#10;" strokecolor="black [3213]"/>
                      <v:shape id="Elbow Connector 53" o:spid="_x0000_s1043" type="#_x0000_t34" style="position:absolute;left:8555;top:17132;width:2524;height:221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ZgcUAAADbAAAADwAAAGRycy9kb3ducmV2LnhtbESPQWsCMRSE7wX/Q3hCbzVrS1vZGkUE&#10;QREErYf29tg8N6ubl20S162/3giFHoeZ+YYZTztbi5Z8qBwrGA4yEMSF0xWXCvafi6cRiBCRNdaO&#10;ScEvBZhOeg9jzLW78JbaXSxFgnDIUYGJscmlDIUhi2HgGuLkHZy3GJP0pdQeLwlua/mcZW/SYsVp&#10;wWBDc0PFaXe2Ctb72YYcXr+OxfH9p/Wjldl8r5R67HezDxCRuvgf/msvtYLXF7h/ST9AT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FZgcUAAADbAAAADwAAAAAAAAAA&#10;AAAAAAChAgAAZHJzL2Rvd25yZXYueG1sUEsFBgAAAAAEAAQA+QAAAJMDAAAAAA==&#10;" strokecolor="black [3213]"/>
                      <v:shape id="Elbow Connector 59" o:spid="_x0000_s1044" type="#_x0000_t34" style="position:absolute;left:6047;top:16834;width:2523;height:280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Udh8YAAADbAAAADwAAAGRycy9kb3ducmV2LnhtbESPQWvCQBSE74L/YXmF3symQoumrqKC&#10;RWilGFNob8/sMwlm34bs1sR/3xWEHoeZ+YaZLXpTiwu1rrKs4CmKQRDnVldcKMgOm9EEhPPIGmvL&#10;pOBKDhbz4WCGibYd7+mS+kIECLsEFZTeN4mULi/JoItsQxy8k20N+iDbQuoWuwA3tRzH8Ys0WHFY&#10;KLGhdUn5Of01CtbH7Oec7T5W6dd1//3m309b030q9fjQL19BeOr9f/je3moFz1O4fQk/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1HYfGAAAA2wAAAA8AAAAAAAAA&#10;AAAAAAAAoQIAAGRycy9kb3ducmV2LnhtbFBLBQYAAAAABAAEAPkAAACUAwAAAAA=&#10;" strokecolor="black [3213]"/>
                      <v:shapetype id="_x0000_t202" coordsize="21600,21600" o:spt="202" path="m,l,21600r21600,l21600,xe">
                        <v:stroke joinstyle="miter"/>
                        <v:path gradientshapeok="t" o:connecttype="rect"/>
                      </v:shapetype>
                      <v:shape id="Text Box 61" o:spid="_x0000_s1045" type="#_x0000_t202" style="position:absolute;left:5045;top:576;width:1495;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cwWMEA&#10;AADbAAAADwAAAGRycy9kb3ducmV2LnhtbESPzYrCMBSF98K8Q7gD7jRVQaQaZRxRirhRB2Z7aa5t&#10;tLkpTaqdt58IgsvD+fk4i1VnK3GnxhvHCkbDBARx7rThQsHPeTuYgfABWWPlmBT8kYfV8qO3wFS7&#10;Bx/pfgqFiCPsU1RQhlCnUvq8JIt+6Gri6F1cYzFE2RRSN/iI47aS4ySZSouGI6HEmr5Lym+n1kZI&#10;+zs5rJ1Zb/fMu6tps93mkCnV/+y+5iACdeEdfrUzrWA6gueX+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nMFjBAAAA2wAAAA8AAAAAAAAAAAAAAAAAmAIAAGRycy9kb3du&#10;cmV2LnhtbFBLBQYAAAAABAAEAPUAAACGAwAAAAA=&#10;" fillcolor="white [3201]" strokeweight=".5pt">
                        <v:textbox inset="1mm,0,1mm,0">
                          <w:txbxContent>
                            <w:p w:rsidR="00B0443C" w:rsidRDefault="00B0443C" w:rsidP="00450087">
                              <w:pPr>
                                <w:spacing w:after="0" w:line="240" w:lineRule="auto"/>
                              </w:pPr>
                              <w:r>
                                <w:t>1</w:t>
                              </w:r>
                            </w:p>
                          </w:txbxContent>
                        </v:textbox>
                      </v:shape>
                      <v:shape id="Text Box 61" o:spid="_x0000_s1046" type="#_x0000_t202" style="position:absolute;left:13738;top:9960;width:1492;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DQocMA&#10;AADbAAAADwAAAGRycy9kb3ducmV2LnhtbESPX2vCMBTF3wf7DuEOfJvpNhSppmVuKGX4sk7w9dJc&#10;22zNTWlSrd/eDAQfD+fPj7PKR9uKE/XeOFbwMk1AEFdOG64V7H82zwsQPiBrbB2Tggt5yLPHhxWm&#10;2p35m05lqEUcYZ+igiaELpXSVw1Z9FPXEUfv6HqLIcq+lrrHcxy3rXxNkrm0aDgSGuzoo6Hqrxxs&#10;hAyHt93amfXmi3n7a4Zi+7krlJo8je9LEIHGcA/f2oVWsJjB/5f4A2R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DQocMAAADbAAAADwAAAAAAAAAAAAAAAACYAgAAZHJzL2Rv&#10;d25yZXYueG1sUEsFBgAAAAAEAAQA9QAAAIgDAAAAAA==&#10;" fillcolor="white [3201]" strokeweight=".5pt">
                        <v:textbox inset="1mm,0,1mm,0">
                          <w:txbxContent>
                            <w:p w:rsidR="00B0443C" w:rsidRDefault="00B0443C" w:rsidP="00450087">
                              <w:pPr>
                                <w:pStyle w:val="NormalWeb"/>
                                <w:spacing w:before="0" w:beforeAutospacing="0" w:after="0" w:afterAutospacing="0" w:line="276" w:lineRule="auto"/>
                              </w:pPr>
                              <w:r>
                                <w:rPr>
                                  <w:rFonts w:eastAsia="Calibri"/>
                                  <w:sz w:val="22"/>
                                  <w:szCs w:val="22"/>
                                </w:rPr>
                                <w:t>2</w:t>
                              </w:r>
                            </w:p>
                          </w:txbxContent>
                        </v:textbox>
                      </v:shape>
                      <v:shape id="Text Box 61" o:spid="_x0000_s1047" type="#_x0000_t202" style="position:absolute;left:18691;top:9958;width:1492;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JO1sMA&#10;AADbAAAADwAAAGRycy9kb3ducmV2LnhtbESPX2vCMBTF34V9h3AHe7PpNhCpRpkblTJ8sQ72emmu&#10;bbS5KU1au2+/DAY+Hs6fH2e9nWwrRuq9cazgOUlBEFdOG64VfJ3y+RKED8gaW8ek4Ic8bDcPszVm&#10;2t34SGMZahFH2GeooAmhy6T0VUMWfeI64uidXW8xRNnXUvd4i+O2lS9pupAWDUdCgx29N1Rdy8FG&#10;yPD9etg5s8s/mfcXMxT7j0Oh1NPj9LYCEWgK9/B/u9AKlgv4+x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JO1sMAAADbAAAADwAAAAAAAAAAAAAAAACYAgAAZHJzL2Rv&#10;d25yZXYueG1sUEsFBgAAAAAEAAQA9QAAAIgDAAAAAA==&#10;" fillcolor="white [3201]" strokeweight=".5pt">
                        <v:textbox inset="1mm,0,1mm,0">
                          <w:txbxContent>
                            <w:p w:rsidR="00B0443C" w:rsidRDefault="00B0443C" w:rsidP="00450087">
                              <w:pPr>
                                <w:pStyle w:val="NormalWeb"/>
                                <w:spacing w:before="0" w:beforeAutospacing="0" w:after="0" w:afterAutospacing="0" w:line="276" w:lineRule="auto"/>
                              </w:pPr>
                              <w:r>
                                <w:rPr>
                                  <w:rFonts w:eastAsia="Calibri"/>
                                  <w:sz w:val="22"/>
                                  <w:szCs w:val="22"/>
                                </w:rPr>
                                <w:t>3</w:t>
                              </w:r>
                            </w:p>
                          </w:txbxContent>
                        </v:textbox>
                      </v:shape>
                      <v:shape id="Text Box 61" o:spid="_x0000_s1048" type="#_x0000_t202" style="position:absolute;left:21110;top:515;width:1492;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7rTcMA&#10;AADbAAAADwAAAGRycy9kb3ducmV2LnhtbESPX2vCMBTF3wf7DuEOfJvpNlCppmVuKGX4sk7w9dJc&#10;22zNTWlSrd/eDAQfD+fPj7PKR9uKE/XeOFbwMk1AEFdOG64V7H82zwsQPiBrbB2Tggt5yLPHhxWm&#10;2p35m05lqEUcYZ+igiaELpXSVw1Z9FPXEUfv6HqLIcq+lrrHcxy3rXxNkpm0aDgSGuzoo6Hqrxxs&#10;hAyHt93amfXmi3n7a4Zi+7krlJo8je9LEIHGcA/f2oVWsJjD/5f4A2R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7rTcMAAADbAAAADwAAAAAAAAAAAAAAAACYAgAAZHJzL2Rv&#10;d25yZXYueG1sUEsFBgAAAAAEAAQA9QAAAIgDAAAAAA==&#10;" fillcolor="white [3201]" strokeweight=".5pt">
                        <v:textbox inset="1mm,0,1mm,0">
                          <w:txbxContent>
                            <w:p w:rsidR="00B0443C" w:rsidRDefault="00B0443C" w:rsidP="00450087">
                              <w:pPr>
                                <w:pStyle w:val="NormalWeb"/>
                                <w:spacing w:before="0" w:beforeAutospacing="0" w:after="0" w:afterAutospacing="0" w:line="276" w:lineRule="auto"/>
                              </w:pPr>
                              <w:r>
                                <w:rPr>
                                  <w:rFonts w:eastAsia="Calibri"/>
                                  <w:sz w:val="22"/>
                                  <w:szCs w:val="22"/>
                                </w:rPr>
                                <w:t>4</w:t>
                              </w:r>
                            </w:p>
                          </w:txbxContent>
                        </v:textbox>
                      </v:shape>
                      <v:shape id="Text Box 61" o:spid="_x0000_s1049" type="#_x0000_t202" style="position:absolute;left:429;top:9203;width:334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F/P8AA&#10;AADbAAAADwAAAGRycy9kb3ducmV2LnhtbERPTWvCQBC9F/wPywje6qYKRVJXqYoSipdqodchO01W&#10;s7Mhu9H47zuHQo+P971cD75RN+qiC2zgZZqBIi6DdVwZ+DrvnxegYkK22AQmAw+KsF6NnpaY23Dn&#10;T7qdUqUkhGOOBuqU2lzrWNbkMU5DSyzcT+g8JoFdpW2Hdwn3jZ5l2av26FgaamxpW1N5PfVeSvrv&#10;+XET3Gb/wXy4uL447I6FMZPx8P4GKtGQ/sV/7sIaWMhY+SI/Q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pF/P8AAAADbAAAADwAAAAAAAAAAAAAAAACYAgAAZHJzL2Rvd25y&#10;ZXYueG1sUEsFBgAAAAAEAAQA9QAAAIUDAAAAAA==&#10;" fillcolor="white [3201]" strokeweight=".5pt">
                        <v:textbox inset="1mm,0,1mm,0">
                          <w:txbxContent>
                            <w:p w:rsidR="00B0443C" w:rsidRDefault="00B0443C" w:rsidP="00450087">
                              <w:pPr>
                                <w:pStyle w:val="NormalWeb"/>
                                <w:spacing w:before="0" w:beforeAutospacing="0" w:after="0" w:afterAutospacing="0" w:line="276" w:lineRule="auto"/>
                              </w:pPr>
                              <w:r>
                                <w:rPr>
                                  <w:rFonts w:eastAsia="Calibri"/>
                                  <w:sz w:val="22"/>
                                  <w:szCs w:val="22"/>
                                </w:rPr>
                                <w:t>46%</w:t>
                              </w:r>
                            </w:p>
                          </w:txbxContent>
                        </v:textbox>
                      </v:shape>
                      <v:shape id="Text Box 61" o:spid="_x0000_s1050" type="#_x0000_t202" style="position:absolute;left:6030;top:9196;width:3577;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3apMIA&#10;AADbAAAADwAAAGRycy9kb3ducmV2LnhtbESPX2vCMBTF3wd+h3AF32aqA9HOKOpQiviiDvZ6ae7a&#10;aHNTmlTrtzfCYI+H8+fHmS87W4kbNd44VjAaJiCIc6cNFwq+z9v3KQgfkDVWjknBgzwsF723Oaba&#10;3flIt1MoRBxhn6KCMoQ6ldLnJVn0Q1cTR+/XNRZDlE0hdYP3OG4rOU6SibRoOBJKrGlTUn49tTZC&#10;2p+Pw9qZ9XbPvLuYNtt9HTKlBv1u9QkiUBf+w3/tTCuYzuD1Jf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dqkwgAAANsAAAAPAAAAAAAAAAAAAAAAAJgCAABkcnMvZG93&#10;bnJldi54bWxQSwUGAAAAAAQABAD1AAAAhwMAAAAA&#10;" fillcolor="white [3201]" strokeweight=".5pt">
                        <v:textbox inset="1mm,0,1mm,0">
                          <w:txbxContent>
                            <w:p w:rsidR="00B0443C" w:rsidRDefault="00B0443C" w:rsidP="00450087">
                              <w:pPr>
                                <w:pStyle w:val="NormalWeb"/>
                                <w:spacing w:before="0" w:beforeAutospacing="0" w:after="0" w:afterAutospacing="0" w:line="276" w:lineRule="auto"/>
                              </w:pPr>
                              <w:r>
                                <w:t>54%</w:t>
                              </w:r>
                            </w:p>
                          </w:txbxContent>
                        </v:textbox>
                      </v:shape>
                      <w10:anchorlock/>
                    </v:group>
                  </w:pict>
                </mc:Fallback>
              </mc:AlternateContent>
            </w:r>
          </w:p>
        </w:tc>
      </w:tr>
    </w:tbl>
    <w:p w:rsidR="006E7F41" w:rsidRDefault="00001D4F" w:rsidP="00001D4F">
      <w:pPr>
        <w:spacing w:before="240"/>
      </w:pPr>
      <w:r>
        <w:t xml:space="preserve">The table lists all securities and security groups </w:t>
      </w:r>
      <w:r w:rsidR="009C3217">
        <w:t>in the first column</w:t>
      </w:r>
      <w:r>
        <w:t xml:space="preserve"> </w:t>
      </w:r>
      <w:r w:rsidR="009C3217">
        <w:t>(the column includes the list of all groups used to describe the allocation structure</w:t>
      </w:r>
      <w:r w:rsidR="00726B6B">
        <w:t>. In the example, there are three groups used to describe the structure: B1-B6, A1-A3, and A2-A3</w:t>
      </w:r>
      <w:r w:rsidR="009C3217">
        <w:t xml:space="preserve">).  </w:t>
      </w:r>
      <w:r w:rsidR="002C2CDF">
        <w:t xml:space="preserve">The second column specifies respectively </w:t>
      </w:r>
      <w:r w:rsidR="00282404">
        <w:t>each</w:t>
      </w:r>
      <w:r w:rsidR="002C2CDF">
        <w:t xml:space="preserve"> security or security group balance.</w:t>
      </w:r>
      <w:r w:rsidR="0078611B">
        <w:t xml:space="preserve"> The third column </w:t>
      </w:r>
      <w:r w:rsidR="00D402FF">
        <w:t>s</w:t>
      </w:r>
      <w:r w:rsidR="0078611B">
        <w:t>pecifies the parent group of each respective security or security group. Root is the name for the ultimate parent group that contains all securities in the deal.</w:t>
      </w:r>
      <w:r w:rsidR="009C3217">
        <w:t xml:space="preserve"> </w:t>
      </w:r>
      <w:r w:rsidR="00E16D83">
        <w:t>The fourth column describes the hierarchical ranking within the group and the last column describes the weight-based structure within the group. If a specific security or security group in the first column is assigned neither the rank in column four nor the weight in column five, then it is assumed that pro-rata structure is applied to the security (or security group).</w:t>
      </w:r>
    </w:p>
    <w:p w:rsidR="006E7F41" w:rsidRDefault="006E7F41" w:rsidP="006E7F41">
      <w:r>
        <w:t>The structure can be applied to describe generic loss and principal allocation structures. The application also performs validation of the structure. After the simulation of loss and principal cash flow allocation</w:t>
      </w:r>
      <w:r w:rsidR="00E16D83">
        <w:t xml:space="preserve"> </w:t>
      </w:r>
      <w:r>
        <w:t>to each security and each security group, the application performs the following two validation tests:</w:t>
      </w:r>
    </w:p>
    <w:p w:rsidR="00001D4F" w:rsidRDefault="006E7F41" w:rsidP="006E7F41">
      <w:pPr>
        <w:pStyle w:val="ListParagraph"/>
        <w:numPr>
          <w:ilvl w:val="0"/>
          <w:numId w:val="13"/>
        </w:numPr>
      </w:pPr>
      <w:r>
        <w:t>The application tests that each parent group is balanced in each period: the parent group balance equals to the sum of its child group balances;</w:t>
      </w:r>
    </w:p>
    <w:p w:rsidR="006E7F41" w:rsidRDefault="006E7F41" w:rsidP="006E7F41">
      <w:pPr>
        <w:pStyle w:val="ListParagraph"/>
        <w:numPr>
          <w:ilvl w:val="0"/>
          <w:numId w:val="13"/>
        </w:numPr>
      </w:pPr>
      <w:r>
        <w:lastRenderedPageBreak/>
        <w:t xml:space="preserve">The application tests that allocation across the children of each parent group is consistent with the allocation rule assigned to the parent group. </w:t>
      </w:r>
    </w:p>
    <w:p w:rsidR="00B754B0" w:rsidRPr="00524C62" w:rsidRDefault="005326DB" w:rsidP="006E7F41">
      <w:pPr>
        <w:pStyle w:val="Heading1"/>
      </w:pPr>
      <w:r>
        <w:t xml:space="preserve">Hedging CMO Securities with </w:t>
      </w:r>
      <w:r w:rsidR="00006F33" w:rsidRPr="00524C62">
        <w:t xml:space="preserve">CDS </w:t>
      </w:r>
      <w:r>
        <w:t>Contracts</w:t>
      </w:r>
    </w:p>
    <w:p w:rsidR="00B173B0" w:rsidRDefault="00B173B0" w:rsidP="006E7F41">
      <w:pPr>
        <w:pStyle w:val="Heading2"/>
      </w:pPr>
      <w:r>
        <w:t>Overview</w:t>
      </w:r>
    </w:p>
    <w:p w:rsidR="00006F33" w:rsidRPr="00524C62" w:rsidRDefault="00006F33" w:rsidP="006C0DA8">
      <w:pPr>
        <w:rPr>
          <w:sz w:val="20"/>
          <w:szCs w:val="20"/>
        </w:rPr>
      </w:pPr>
      <w:r w:rsidRPr="00524C62">
        <w:rPr>
          <w:sz w:val="20"/>
          <w:szCs w:val="20"/>
        </w:rPr>
        <w:t xml:space="preserve">The credit default swap provides an additional credit support structure for a given </w:t>
      </w:r>
      <w:r w:rsidR="00AC47A6">
        <w:rPr>
          <w:sz w:val="20"/>
          <w:szCs w:val="20"/>
        </w:rPr>
        <w:t>CMO</w:t>
      </w:r>
      <w:r w:rsidRPr="00524C62">
        <w:rPr>
          <w:sz w:val="20"/>
          <w:szCs w:val="20"/>
        </w:rPr>
        <w:t xml:space="preserve"> </w:t>
      </w:r>
      <w:r w:rsidR="00AC47A6">
        <w:rPr>
          <w:sz w:val="20"/>
          <w:szCs w:val="20"/>
        </w:rPr>
        <w:t>security</w:t>
      </w:r>
      <w:r w:rsidRPr="00524C62">
        <w:rPr>
          <w:sz w:val="20"/>
          <w:szCs w:val="20"/>
        </w:rPr>
        <w:t>.</w:t>
      </w:r>
      <w:r w:rsidR="0022579C" w:rsidRPr="00524C62">
        <w:rPr>
          <w:sz w:val="20"/>
          <w:szCs w:val="20"/>
        </w:rPr>
        <w:t xml:space="preserve"> The support is structured as follows. The </w:t>
      </w:r>
      <w:r w:rsidR="003E4065" w:rsidRPr="00524C62">
        <w:rPr>
          <w:sz w:val="20"/>
          <w:szCs w:val="20"/>
        </w:rPr>
        <w:t xml:space="preserve">senior </w:t>
      </w:r>
      <w:r w:rsidR="00F47303">
        <w:rPr>
          <w:sz w:val="20"/>
          <w:szCs w:val="20"/>
        </w:rPr>
        <w:t>security</w:t>
      </w:r>
      <w:r w:rsidR="0022579C" w:rsidRPr="00524C62">
        <w:rPr>
          <w:sz w:val="20"/>
          <w:szCs w:val="20"/>
        </w:rPr>
        <w:t xml:space="preserve"> </w:t>
      </w:r>
      <w:r w:rsidR="003E4065" w:rsidRPr="00524C62">
        <w:rPr>
          <w:sz w:val="20"/>
          <w:szCs w:val="20"/>
        </w:rPr>
        <w:t xml:space="preserve">(“A”) </w:t>
      </w:r>
      <w:r w:rsidR="0022579C" w:rsidRPr="00524C62">
        <w:rPr>
          <w:sz w:val="20"/>
          <w:szCs w:val="20"/>
        </w:rPr>
        <w:t xml:space="preserve">is divided into three </w:t>
      </w:r>
      <w:r w:rsidR="00F47303">
        <w:rPr>
          <w:sz w:val="20"/>
          <w:szCs w:val="20"/>
        </w:rPr>
        <w:t>tranches</w:t>
      </w:r>
      <w:r w:rsidR="003E4065" w:rsidRPr="00524C62">
        <w:rPr>
          <w:sz w:val="20"/>
          <w:szCs w:val="20"/>
        </w:rPr>
        <w:t>: junior (“A.J”), mezzanine (“A.M”</w:t>
      </w:r>
      <w:r w:rsidR="00F47303">
        <w:rPr>
          <w:sz w:val="20"/>
          <w:szCs w:val="20"/>
        </w:rPr>
        <w:t xml:space="preserve"> or “A.CDS”</w:t>
      </w:r>
      <w:r w:rsidR="003E4065" w:rsidRPr="00524C62">
        <w:rPr>
          <w:sz w:val="20"/>
          <w:szCs w:val="20"/>
        </w:rPr>
        <w:t xml:space="preserve">), and senior (“A.S”). </w:t>
      </w:r>
      <w:r w:rsidR="00AC47A6">
        <w:rPr>
          <w:sz w:val="20"/>
          <w:szCs w:val="20"/>
        </w:rPr>
        <w:t xml:space="preserve">The balance of the A.J </w:t>
      </w:r>
      <w:r w:rsidR="00F47303">
        <w:rPr>
          <w:sz w:val="20"/>
          <w:szCs w:val="20"/>
        </w:rPr>
        <w:t>tranche</w:t>
      </w:r>
      <w:r w:rsidR="00AC47A6">
        <w:rPr>
          <w:sz w:val="20"/>
          <w:szCs w:val="20"/>
        </w:rPr>
        <w:t xml:space="preserve"> is typically selected to match the price discount at which security A was acquired. From accounting perspective, t</w:t>
      </w:r>
      <w:r w:rsidR="003E4065" w:rsidRPr="00524C62">
        <w:rPr>
          <w:sz w:val="20"/>
          <w:szCs w:val="20"/>
        </w:rPr>
        <w:t xml:space="preserve">he losses in the </w:t>
      </w:r>
      <w:r w:rsidR="0045187F" w:rsidRPr="00524C62">
        <w:rPr>
          <w:sz w:val="20"/>
          <w:szCs w:val="20"/>
        </w:rPr>
        <w:t xml:space="preserve">A.J tranche are covered by </w:t>
      </w:r>
      <w:r w:rsidR="00AC47A6">
        <w:rPr>
          <w:sz w:val="20"/>
          <w:szCs w:val="20"/>
        </w:rPr>
        <w:t>the security A price discount (since the total value of the security is recorded in the balance sheet at the purchase price and not at the nominal value)</w:t>
      </w:r>
      <w:r w:rsidR="00F47303">
        <w:rPr>
          <w:sz w:val="20"/>
          <w:szCs w:val="20"/>
        </w:rPr>
        <w:t>. The losses in the A.CDS</w:t>
      </w:r>
      <w:r w:rsidR="0045187F" w:rsidRPr="00524C62">
        <w:rPr>
          <w:sz w:val="20"/>
          <w:szCs w:val="20"/>
        </w:rPr>
        <w:t xml:space="preserve"> </w:t>
      </w:r>
      <w:r w:rsidR="00F47303">
        <w:rPr>
          <w:sz w:val="20"/>
          <w:szCs w:val="20"/>
        </w:rPr>
        <w:t>tranche</w:t>
      </w:r>
      <w:r w:rsidR="0045187F" w:rsidRPr="00524C62">
        <w:rPr>
          <w:sz w:val="20"/>
          <w:szCs w:val="20"/>
        </w:rPr>
        <w:t xml:space="preserve"> are covered by the CDS </w:t>
      </w:r>
      <w:r w:rsidR="00F47303">
        <w:rPr>
          <w:sz w:val="20"/>
          <w:szCs w:val="20"/>
        </w:rPr>
        <w:t>contract.</w:t>
      </w:r>
      <w:r w:rsidR="0045187F" w:rsidRPr="00524C62">
        <w:rPr>
          <w:sz w:val="20"/>
          <w:szCs w:val="20"/>
        </w:rPr>
        <w:t xml:space="preserve"> </w:t>
      </w:r>
      <w:r w:rsidR="00F47303">
        <w:rPr>
          <w:sz w:val="20"/>
          <w:szCs w:val="20"/>
        </w:rPr>
        <w:t>The purpose of the A.J and A.CDS</w:t>
      </w:r>
      <w:r w:rsidR="00F94F2E" w:rsidRPr="00524C62">
        <w:rPr>
          <w:sz w:val="20"/>
          <w:szCs w:val="20"/>
        </w:rPr>
        <w:t xml:space="preserve"> tranches is to provide</w:t>
      </w:r>
      <w:r w:rsidR="00F97322" w:rsidRPr="00524C62">
        <w:rPr>
          <w:sz w:val="20"/>
          <w:szCs w:val="20"/>
        </w:rPr>
        <w:t xml:space="preserve"> additional</w:t>
      </w:r>
      <w:r w:rsidR="00F94F2E" w:rsidRPr="00524C62">
        <w:rPr>
          <w:sz w:val="20"/>
          <w:szCs w:val="20"/>
        </w:rPr>
        <w:t xml:space="preserve"> credit support for the A.S tranche.</w:t>
      </w:r>
      <w:r w:rsidR="00DF5DFA" w:rsidRPr="00524C62">
        <w:rPr>
          <w:sz w:val="20"/>
          <w:szCs w:val="20"/>
        </w:rPr>
        <w:t xml:space="preserve"> All losses in A </w:t>
      </w:r>
      <w:r w:rsidR="00F47303">
        <w:rPr>
          <w:sz w:val="20"/>
          <w:szCs w:val="20"/>
        </w:rPr>
        <w:t>securities</w:t>
      </w:r>
      <w:r w:rsidR="00DF5DFA" w:rsidRPr="00524C62">
        <w:rPr>
          <w:sz w:val="20"/>
          <w:szCs w:val="20"/>
        </w:rPr>
        <w:t xml:space="preserve"> are </w:t>
      </w:r>
      <w:r w:rsidR="00167894" w:rsidRPr="00524C62">
        <w:rPr>
          <w:sz w:val="20"/>
          <w:szCs w:val="20"/>
        </w:rPr>
        <w:t>first accumulated</w:t>
      </w:r>
      <w:r w:rsidR="00DF5DFA" w:rsidRPr="00524C62">
        <w:rPr>
          <w:sz w:val="20"/>
          <w:szCs w:val="20"/>
        </w:rPr>
        <w:t xml:space="preserve"> in</w:t>
      </w:r>
      <w:r w:rsidR="00F47303">
        <w:rPr>
          <w:sz w:val="20"/>
          <w:szCs w:val="20"/>
        </w:rPr>
        <w:t xml:space="preserve"> A.J and then in A.CDS</w:t>
      </w:r>
      <w:r w:rsidR="00DF5DFA" w:rsidRPr="00524C62">
        <w:rPr>
          <w:sz w:val="20"/>
          <w:szCs w:val="20"/>
        </w:rPr>
        <w:t xml:space="preserve"> tranches.</w:t>
      </w:r>
      <w:r w:rsidR="002564A6" w:rsidRPr="00524C62">
        <w:rPr>
          <w:sz w:val="20"/>
          <w:szCs w:val="20"/>
        </w:rPr>
        <w:t xml:space="preserve"> The sizes of the A.J and A.M sub-tranches are determined using “</w:t>
      </w:r>
      <w:r w:rsidR="002564A6" w:rsidRPr="00524C62">
        <w:rPr>
          <w:i/>
          <w:sz w:val="20"/>
          <w:szCs w:val="20"/>
        </w:rPr>
        <w:t>attachment point</w:t>
      </w:r>
      <w:r w:rsidR="002564A6" w:rsidRPr="00524C62">
        <w:rPr>
          <w:sz w:val="20"/>
          <w:szCs w:val="20"/>
        </w:rPr>
        <w:t>” and “</w:t>
      </w:r>
      <w:r w:rsidR="002564A6" w:rsidRPr="00524C62">
        <w:rPr>
          <w:i/>
          <w:sz w:val="20"/>
          <w:szCs w:val="20"/>
        </w:rPr>
        <w:t>detachment point</w:t>
      </w:r>
      <w:r w:rsidR="002564A6" w:rsidRPr="00524C62">
        <w:rPr>
          <w:sz w:val="20"/>
          <w:szCs w:val="20"/>
        </w:rPr>
        <w:t xml:space="preserve">”. For example, if attachment point equals 5% and detachment point equals 15%, then the size of the A.J tranche is equal to 5% of the A </w:t>
      </w:r>
      <w:r w:rsidR="00F47303">
        <w:rPr>
          <w:sz w:val="20"/>
          <w:szCs w:val="20"/>
        </w:rPr>
        <w:t>security</w:t>
      </w:r>
      <w:r w:rsidR="002564A6" w:rsidRPr="00524C62">
        <w:rPr>
          <w:sz w:val="20"/>
          <w:szCs w:val="20"/>
        </w:rPr>
        <w:t xml:space="preserve"> size and size of the A.M tranche is equal to 10% (10% = 15% - 5%) of the A </w:t>
      </w:r>
      <w:r w:rsidR="00F47303">
        <w:rPr>
          <w:sz w:val="20"/>
          <w:szCs w:val="20"/>
        </w:rPr>
        <w:t>security</w:t>
      </w:r>
      <w:r w:rsidR="002564A6" w:rsidRPr="00524C62">
        <w:rPr>
          <w:sz w:val="20"/>
          <w:szCs w:val="20"/>
        </w:rPr>
        <w:t>.</w:t>
      </w:r>
      <w:r w:rsidR="00F97322" w:rsidRPr="00524C62">
        <w:rPr>
          <w:sz w:val="20"/>
          <w:szCs w:val="20"/>
        </w:rPr>
        <w:t xml:space="preserve"> </w:t>
      </w:r>
    </w:p>
    <w:p w:rsidR="00F97322" w:rsidRPr="00524C62" w:rsidRDefault="00F97322" w:rsidP="006C0DA8">
      <w:pPr>
        <w:rPr>
          <w:sz w:val="20"/>
          <w:szCs w:val="20"/>
        </w:rPr>
      </w:pPr>
      <w:r w:rsidRPr="00524C62">
        <w:rPr>
          <w:sz w:val="20"/>
          <w:szCs w:val="20"/>
        </w:rPr>
        <w:t xml:space="preserve">The order of principal payments is specified by the master agreement that provides the terms of the CDS instruments. </w:t>
      </w:r>
      <w:r w:rsidR="00F47303">
        <w:rPr>
          <w:sz w:val="20"/>
          <w:szCs w:val="20"/>
        </w:rPr>
        <w:t>A standard</w:t>
      </w:r>
      <w:r w:rsidRPr="00524C62">
        <w:rPr>
          <w:sz w:val="20"/>
          <w:szCs w:val="20"/>
        </w:rPr>
        <w:t xml:space="preserve"> assumption </w:t>
      </w:r>
      <w:r w:rsidR="00F47303">
        <w:rPr>
          <w:sz w:val="20"/>
          <w:szCs w:val="20"/>
        </w:rPr>
        <w:t xml:space="preserve">is </w:t>
      </w:r>
      <w:r w:rsidRPr="00524C62">
        <w:rPr>
          <w:sz w:val="20"/>
          <w:szCs w:val="20"/>
        </w:rPr>
        <w:t>that the tranche A.S is repaid first, then, after the tranche A.S balance</w:t>
      </w:r>
      <w:r w:rsidR="00F47303">
        <w:rPr>
          <w:sz w:val="20"/>
          <w:szCs w:val="20"/>
        </w:rPr>
        <w:t xml:space="preserve"> is reduced to zero, tranche A.CDS</w:t>
      </w:r>
      <w:r w:rsidRPr="00524C62">
        <w:rPr>
          <w:sz w:val="20"/>
          <w:szCs w:val="20"/>
        </w:rPr>
        <w:t xml:space="preserve"> is repaid. Tranche A.J is repaid last.  </w:t>
      </w:r>
    </w:p>
    <w:p w:rsidR="009E46CF" w:rsidRPr="00524C62" w:rsidRDefault="009E46CF" w:rsidP="006C0DA8">
      <w:pPr>
        <w:rPr>
          <w:sz w:val="20"/>
          <w:szCs w:val="20"/>
        </w:rPr>
      </w:pPr>
      <w:r w:rsidRPr="00524C62">
        <w:rPr>
          <w:sz w:val="20"/>
          <w:szCs w:val="20"/>
        </w:rPr>
        <w:t>The price of the CDS instrument depends on the d</w:t>
      </w:r>
      <w:r w:rsidR="00F47303">
        <w:rPr>
          <w:sz w:val="20"/>
          <w:szCs w:val="20"/>
        </w:rPr>
        <w:t>istribution of losses in the A.CDS</w:t>
      </w:r>
      <w:r w:rsidRPr="00524C62">
        <w:rPr>
          <w:sz w:val="20"/>
          <w:szCs w:val="20"/>
        </w:rPr>
        <w:t xml:space="preserve"> sub-tranche of the A </w:t>
      </w:r>
      <w:r w:rsidR="00F47303">
        <w:rPr>
          <w:sz w:val="20"/>
          <w:szCs w:val="20"/>
        </w:rPr>
        <w:t>security</w:t>
      </w:r>
      <w:r w:rsidRPr="00524C62">
        <w:rPr>
          <w:sz w:val="20"/>
          <w:szCs w:val="20"/>
        </w:rPr>
        <w:t xml:space="preserve">. </w:t>
      </w:r>
      <w:r w:rsidR="005C5DD6" w:rsidRPr="00524C62">
        <w:rPr>
          <w:sz w:val="20"/>
          <w:szCs w:val="20"/>
        </w:rPr>
        <w:t>The key parameters that affect the distribution of losses in the A.M tranche are the following.</w:t>
      </w:r>
    </w:p>
    <w:p w:rsidR="005C5DD6" w:rsidRPr="00524C62" w:rsidRDefault="00F44EC1" w:rsidP="005C5DD6">
      <w:pPr>
        <w:pStyle w:val="ListParagraph"/>
        <w:numPr>
          <w:ilvl w:val="0"/>
          <w:numId w:val="1"/>
        </w:numPr>
        <w:rPr>
          <w:sz w:val="20"/>
          <w:szCs w:val="20"/>
        </w:rPr>
      </w:pPr>
      <w:r>
        <w:rPr>
          <w:sz w:val="20"/>
          <w:szCs w:val="20"/>
        </w:rPr>
        <w:t>The outstanding balances and a</w:t>
      </w:r>
      <w:r w:rsidR="005C5DD6" w:rsidRPr="00524C62">
        <w:rPr>
          <w:sz w:val="20"/>
          <w:szCs w:val="20"/>
        </w:rPr>
        <w:t xml:space="preserve">ttachment and detachment points </w:t>
      </w:r>
      <w:r w:rsidR="007E1AB0">
        <w:rPr>
          <w:sz w:val="20"/>
          <w:szCs w:val="20"/>
        </w:rPr>
        <w:t>of security A</w:t>
      </w:r>
      <w:r w:rsidR="005C5DD6" w:rsidRPr="00524C62">
        <w:rPr>
          <w:sz w:val="20"/>
          <w:szCs w:val="20"/>
        </w:rPr>
        <w:t>;</w:t>
      </w:r>
    </w:p>
    <w:p w:rsidR="005C5DD6" w:rsidRPr="00524C62" w:rsidRDefault="00F47303" w:rsidP="00F47303">
      <w:pPr>
        <w:pStyle w:val="ListParagraph"/>
        <w:numPr>
          <w:ilvl w:val="0"/>
          <w:numId w:val="1"/>
        </w:numPr>
        <w:rPr>
          <w:sz w:val="20"/>
          <w:szCs w:val="20"/>
        </w:rPr>
      </w:pPr>
      <w:r>
        <w:rPr>
          <w:sz w:val="20"/>
          <w:szCs w:val="20"/>
        </w:rPr>
        <w:t>Loss and principal allocation</w:t>
      </w:r>
      <w:r w:rsidR="005C5DD6" w:rsidRPr="00524C62">
        <w:rPr>
          <w:sz w:val="20"/>
          <w:szCs w:val="20"/>
        </w:rPr>
        <w:t xml:space="preserve"> structure of the </w:t>
      </w:r>
      <w:r>
        <w:rPr>
          <w:sz w:val="20"/>
          <w:szCs w:val="20"/>
        </w:rPr>
        <w:t>CMO deal (which determines the loss and principal allocation to the A security)</w:t>
      </w:r>
      <w:r w:rsidR="005C5DD6" w:rsidRPr="00524C62">
        <w:rPr>
          <w:sz w:val="20"/>
          <w:szCs w:val="20"/>
        </w:rPr>
        <w:t>;</w:t>
      </w:r>
    </w:p>
    <w:p w:rsidR="005C5DD6" w:rsidRPr="00221E39" w:rsidRDefault="00F47303" w:rsidP="000C1E18">
      <w:pPr>
        <w:pStyle w:val="ListParagraph"/>
        <w:numPr>
          <w:ilvl w:val="0"/>
          <w:numId w:val="1"/>
        </w:numPr>
      </w:pPr>
      <w:r>
        <w:rPr>
          <w:sz w:val="20"/>
          <w:szCs w:val="20"/>
        </w:rPr>
        <w:t xml:space="preserve">Parameters of loss and principal </w:t>
      </w:r>
      <w:r w:rsidR="000C1E18">
        <w:rPr>
          <w:sz w:val="20"/>
          <w:szCs w:val="20"/>
        </w:rPr>
        <w:t xml:space="preserve">repayment </w:t>
      </w:r>
      <w:r>
        <w:rPr>
          <w:sz w:val="20"/>
          <w:szCs w:val="20"/>
        </w:rPr>
        <w:t>d</w:t>
      </w:r>
      <w:r w:rsidR="005C5DD6" w:rsidRPr="00524C62">
        <w:rPr>
          <w:sz w:val="20"/>
          <w:szCs w:val="20"/>
        </w:rPr>
        <w:t>istribution</w:t>
      </w:r>
      <w:r w:rsidR="000C1E18">
        <w:rPr>
          <w:sz w:val="20"/>
          <w:szCs w:val="20"/>
        </w:rPr>
        <w:t>s</w:t>
      </w:r>
      <w:r w:rsidR="005C5DD6" w:rsidRPr="00524C62">
        <w:rPr>
          <w:sz w:val="20"/>
          <w:szCs w:val="20"/>
        </w:rPr>
        <w:t xml:space="preserve"> </w:t>
      </w:r>
      <w:r>
        <w:rPr>
          <w:sz w:val="20"/>
          <w:szCs w:val="20"/>
        </w:rPr>
        <w:t>estimated for the total pool of underlying mortgage loans</w:t>
      </w:r>
      <w:r w:rsidR="005C5DD6" w:rsidRPr="00524C62">
        <w:rPr>
          <w:sz w:val="20"/>
          <w:szCs w:val="20"/>
        </w:rPr>
        <w:t>;</w:t>
      </w:r>
    </w:p>
    <w:p w:rsidR="00221E39" w:rsidRDefault="00221E39" w:rsidP="00221E39">
      <w:r>
        <w:t xml:space="preserve">Each CDS contract can be equivalently interpreted as an </w:t>
      </w:r>
      <w:r w:rsidRPr="00384B18">
        <w:rPr>
          <w:b/>
        </w:rPr>
        <w:t>insurance policy</w:t>
      </w:r>
      <w:r>
        <w:t xml:space="preserve"> underwritten on the CMO security. The attachment point is interpreted as the insurance deductible and the detachment point is interpreted as the insurance maximum limit.</w:t>
      </w:r>
    </w:p>
    <w:p w:rsidR="00221E39" w:rsidRDefault="00221E39" w:rsidP="00221E39">
      <w:r>
        <w:t xml:space="preserve">Alternatively, the CDS contract can be interpreted as a portfolio of long call </w:t>
      </w:r>
      <w:r w:rsidR="00A4364F">
        <w:t xml:space="preserve">option with strike equal to attachment point </w:t>
      </w:r>
      <w:r>
        <w:t xml:space="preserve">and short </w:t>
      </w:r>
      <w:r w:rsidR="00A4364F">
        <w:t>call</w:t>
      </w:r>
      <w:r>
        <w:t xml:space="preserve"> option</w:t>
      </w:r>
      <w:r w:rsidR="00A4364F">
        <w:t xml:space="preserve"> with a strike equal to detachment point, which is</w:t>
      </w:r>
      <w:r>
        <w:t xml:space="preserve"> underwritten for the CMO security (the portfolio is also known as a </w:t>
      </w:r>
      <w:r w:rsidRPr="00384B18">
        <w:rPr>
          <w:b/>
        </w:rPr>
        <w:t>bear spread</w:t>
      </w:r>
      <w:r>
        <w:t>).</w:t>
      </w:r>
    </w:p>
    <w:p w:rsidR="00AE6B96" w:rsidRPr="00524C62" w:rsidRDefault="000C570C" w:rsidP="00B173B0">
      <w:pPr>
        <w:pStyle w:val="Heading2"/>
      </w:pPr>
      <w:r>
        <w:rPr>
          <w:rFonts w:eastAsiaTheme="minorEastAsia"/>
        </w:rPr>
        <w:t>CDS Contract Valuation</w:t>
      </w:r>
    </w:p>
    <w:p w:rsidR="00AE6B96" w:rsidRDefault="000C570C" w:rsidP="006C0DA8">
      <w:pPr>
        <w:rPr>
          <w:sz w:val="20"/>
          <w:szCs w:val="20"/>
        </w:rPr>
      </w:pPr>
      <w:r>
        <w:rPr>
          <w:sz w:val="20"/>
          <w:szCs w:val="20"/>
        </w:rPr>
        <w:t>CDS contract can be modelled as follows</w:t>
      </w:r>
      <w:r w:rsidR="00AE6B96" w:rsidRPr="00524C62">
        <w:rPr>
          <w:sz w:val="20"/>
          <w:szCs w:val="20"/>
        </w:rPr>
        <w:t>.</w:t>
      </w:r>
      <w:r>
        <w:rPr>
          <w:sz w:val="20"/>
          <w:szCs w:val="20"/>
        </w:rPr>
        <w:t xml:space="preserve"> First the tranching of the security is incorporated as a part of the CMO deal structure. For example, suppose that security A5 in the example above was tranched into junior, CDS and senior sub-loans. Then the modified CMO deal structure would be represented using the following tree.</w:t>
      </w:r>
    </w:p>
    <w:p w:rsidR="000C570C" w:rsidRPr="00524C62" w:rsidRDefault="000C570C" w:rsidP="000C570C">
      <w:pPr>
        <w:jc w:val="center"/>
        <w:rPr>
          <w:sz w:val="20"/>
          <w:szCs w:val="20"/>
        </w:rPr>
      </w:pPr>
      <w:r>
        <w:rPr>
          <w:noProof/>
          <w:lang w:eastAsia="en-CA"/>
        </w:rPr>
        <w:lastRenderedPageBreak/>
        <mc:AlternateContent>
          <mc:Choice Requires="wpc">
            <w:drawing>
              <wp:inline distT="0" distB="0" distL="0" distR="0" wp14:anchorId="487CDDC4" wp14:editId="79547CA5">
                <wp:extent cx="3593465" cy="2563792"/>
                <wp:effectExtent l="0" t="0" r="0" b="0"/>
                <wp:docPr id="317" name="Canvas 31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9" name="Rectangle 289"/>
                        <wps:cNvSpPr/>
                        <wps:spPr>
                          <a:xfrm>
                            <a:off x="1261721" y="120650"/>
                            <a:ext cx="558460" cy="381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3C" w:rsidRPr="00E92A03" w:rsidRDefault="00B0443C" w:rsidP="000C570C">
                              <w:pPr>
                                <w:spacing w:after="0" w:line="240" w:lineRule="auto"/>
                                <w:jc w:val="center"/>
                                <w:rPr>
                                  <w:color w:val="000000" w:themeColor="text1"/>
                                </w:rPr>
                              </w:pPr>
                              <w:r>
                                <w:rPr>
                                  <w:color w:val="000000" w:themeColor="text1"/>
                                </w:rPr>
                                <w:t>r</w:t>
                              </w:r>
                              <w:r w:rsidRPr="00E92A03">
                                <w:rPr>
                                  <w:color w:val="000000" w:themeColor="text1"/>
                                </w:rPr>
                                <w:t>oot group</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91" name="Rectangle 291"/>
                        <wps:cNvSpPr/>
                        <wps:spPr>
                          <a:xfrm>
                            <a:off x="241571" y="455542"/>
                            <a:ext cx="562950" cy="381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3C" w:rsidRDefault="00B0443C" w:rsidP="000C570C">
                              <w:pPr>
                                <w:pStyle w:val="NormalWeb"/>
                                <w:spacing w:before="0" w:beforeAutospacing="0" w:after="0" w:afterAutospacing="0" w:line="276" w:lineRule="auto"/>
                                <w:jc w:val="center"/>
                              </w:pPr>
                              <w:r>
                                <w:rPr>
                                  <w:rFonts w:eastAsia="Calibri"/>
                                  <w:color w:val="000000"/>
                                  <w:sz w:val="22"/>
                                  <w:szCs w:val="22"/>
                                </w:rPr>
                                <w:t>A1-A3 group</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94" name="Rectangle 294"/>
                        <wps:cNvSpPr/>
                        <wps:spPr>
                          <a:xfrm>
                            <a:off x="2330381" y="664800"/>
                            <a:ext cx="588690" cy="381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3C" w:rsidRDefault="00B0443C" w:rsidP="000C570C">
                              <w:pPr>
                                <w:pStyle w:val="NormalWeb"/>
                                <w:spacing w:before="0" w:beforeAutospacing="0" w:after="0" w:afterAutospacing="0" w:line="276" w:lineRule="auto"/>
                                <w:jc w:val="center"/>
                              </w:pPr>
                              <w:r>
                                <w:rPr>
                                  <w:rFonts w:eastAsia="Calibri"/>
                                  <w:color w:val="000000"/>
                                  <w:sz w:val="22"/>
                                  <w:szCs w:val="22"/>
                                </w:rPr>
                                <w:t>B1-B6 group</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95" name="Rectangle 295"/>
                        <wps:cNvSpPr/>
                        <wps:spPr>
                          <a:xfrm>
                            <a:off x="241571" y="1316717"/>
                            <a:ext cx="385150" cy="381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3C" w:rsidRDefault="00B0443C" w:rsidP="000C570C">
                              <w:pPr>
                                <w:pStyle w:val="NormalWeb"/>
                                <w:spacing w:before="0" w:beforeAutospacing="0" w:after="0" w:afterAutospacing="0" w:line="276" w:lineRule="auto"/>
                                <w:jc w:val="center"/>
                              </w:pPr>
                              <w:r>
                                <w:rPr>
                                  <w:rFonts w:eastAsia="Calibri"/>
                                  <w:color w:val="000000"/>
                                  <w:sz w:val="22"/>
                                  <w:szCs w:val="22"/>
                                </w:rPr>
                                <w:t xml:space="preserve">A1 </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97" name="Rectangle 297"/>
                        <wps:cNvSpPr/>
                        <wps:spPr>
                          <a:xfrm>
                            <a:off x="1524271" y="1316650"/>
                            <a:ext cx="384810" cy="381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3C" w:rsidRDefault="00B0443C" w:rsidP="000C570C">
                              <w:pPr>
                                <w:pStyle w:val="NormalWeb"/>
                                <w:spacing w:before="0" w:beforeAutospacing="0" w:after="0" w:afterAutospacing="0" w:line="276" w:lineRule="auto"/>
                                <w:jc w:val="center"/>
                              </w:pPr>
                              <w:r>
                                <w:rPr>
                                  <w:rFonts w:eastAsia="Calibri"/>
                                  <w:color w:val="000000"/>
                                  <w:sz w:val="22"/>
                                  <w:szCs w:val="22"/>
                                </w:rPr>
                                <w:t xml:space="preserve">A4 </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98" name="Rectangle 298"/>
                        <wps:cNvSpPr/>
                        <wps:spPr>
                          <a:xfrm>
                            <a:off x="2019571" y="1316508"/>
                            <a:ext cx="486348" cy="381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3C" w:rsidRDefault="00B0443C" w:rsidP="000C570C">
                              <w:pPr>
                                <w:pStyle w:val="NormalWeb"/>
                                <w:spacing w:before="0" w:beforeAutospacing="0" w:after="0" w:afterAutospacing="0" w:line="276" w:lineRule="auto"/>
                                <w:jc w:val="center"/>
                              </w:pPr>
                              <w:r>
                                <w:rPr>
                                  <w:rFonts w:eastAsia="Calibri"/>
                                  <w:color w:val="000000"/>
                                  <w:sz w:val="22"/>
                                  <w:szCs w:val="22"/>
                                </w:rPr>
                                <w:t xml:space="preserve">A5 group </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99" name="Rectangle 299"/>
                        <wps:cNvSpPr/>
                        <wps:spPr>
                          <a:xfrm>
                            <a:off x="548911" y="1950123"/>
                            <a:ext cx="384810" cy="381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3C" w:rsidRDefault="00B0443C" w:rsidP="000C570C">
                              <w:pPr>
                                <w:pStyle w:val="NormalWeb"/>
                                <w:spacing w:before="0" w:beforeAutospacing="0" w:after="0" w:afterAutospacing="0" w:line="276" w:lineRule="auto"/>
                                <w:jc w:val="center"/>
                              </w:pPr>
                              <w:r>
                                <w:rPr>
                                  <w:rFonts w:eastAsia="Calibri"/>
                                  <w:color w:val="000000"/>
                                  <w:sz w:val="22"/>
                                  <w:szCs w:val="22"/>
                                </w:rPr>
                                <w:t xml:space="preserve">A2 </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00" name="Rectangle 300"/>
                        <wps:cNvSpPr/>
                        <wps:spPr>
                          <a:xfrm>
                            <a:off x="1050561" y="1950123"/>
                            <a:ext cx="384810" cy="381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3C" w:rsidRDefault="00B0443C" w:rsidP="000C570C">
                              <w:pPr>
                                <w:pStyle w:val="NormalWeb"/>
                                <w:spacing w:before="0" w:beforeAutospacing="0" w:after="0" w:afterAutospacing="0" w:line="276" w:lineRule="auto"/>
                                <w:jc w:val="center"/>
                              </w:pPr>
                              <w:r>
                                <w:rPr>
                                  <w:rFonts w:eastAsia="Calibri"/>
                                  <w:color w:val="000000"/>
                                  <w:sz w:val="22"/>
                                  <w:szCs w:val="22"/>
                                </w:rPr>
                                <w:t xml:space="preserve">A3 </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01" name="Rectangle 301"/>
                        <wps:cNvSpPr/>
                        <wps:spPr>
                          <a:xfrm>
                            <a:off x="743221" y="1316717"/>
                            <a:ext cx="556600" cy="381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3C" w:rsidRDefault="00B0443C" w:rsidP="000C570C">
                              <w:pPr>
                                <w:pStyle w:val="NormalWeb"/>
                                <w:spacing w:before="0" w:beforeAutospacing="0" w:after="0" w:afterAutospacing="0" w:line="276" w:lineRule="auto"/>
                                <w:jc w:val="center"/>
                              </w:pPr>
                              <w:r>
                                <w:rPr>
                                  <w:rFonts w:eastAsia="Calibri"/>
                                  <w:color w:val="000000"/>
                                  <w:sz w:val="22"/>
                                  <w:szCs w:val="22"/>
                                </w:rPr>
                                <w:t>A2-A3 group</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02" name="Elbow Connector 302"/>
                        <wps:cNvCnPr>
                          <a:stCxn id="289" idx="1"/>
                          <a:endCxn id="291" idx="0"/>
                        </wps:cNvCnPr>
                        <wps:spPr>
                          <a:xfrm rot="10800000" flipV="1">
                            <a:off x="523047" y="311150"/>
                            <a:ext cx="738675" cy="144392"/>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3" name="Elbow Connector 303"/>
                        <wps:cNvCnPr>
                          <a:stCxn id="291" idx="2"/>
                          <a:endCxn id="295" idx="0"/>
                        </wps:cNvCnPr>
                        <wps:spPr>
                          <a:xfrm rot="5400000">
                            <a:off x="238509" y="1032179"/>
                            <a:ext cx="480175" cy="88900"/>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4" name="Elbow Connector 304"/>
                        <wps:cNvCnPr>
                          <a:stCxn id="291" idx="3"/>
                          <a:endCxn id="301" idx="0"/>
                        </wps:cNvCnPr>
                        <wps:spPr>
                          <a:xfrm>
                            <a:off x="804521" y="646042"/>
                            <a:ext cx="217000" cy="670675"/>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5" name="Elbow Connector 305"/>
                        <wps:cNvCnPr>
                          <a:stCxn id="289" idx="2"/>
                          <a:endCxn id="297" idx="0"/>
                        </wps:cNvCnPr>
                        <wps:spPr>
                          <a:xfrm rot="16200000" flipH="1">
                            <a:off x="1221313" y="821287"/>
                            <a:ext cx="815000" cy="175725"/>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6" name="Elbow Connector 306"/>
                        <wps:cNvCnPr>
                          <a:stCxn id="289" idx="2"/>
                          <a:endCxn id="298" idx="0"/>
                        </wps:cNvCnPr>
                        <wps:spPr>
                          <a:xfrm rot="16200000" flipH="1">
                            <a:off x="1494419" y="548182"/>
                            <a:ext cx="814858" cy="721794"/>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8" name="Elbow Connector 308"/>
                        <wps:cNvCnPr>
                          <a:endCxn id="294" idx="0"/>
                        </wps:cNvCnPr>
                        <wps:spPr>
                          <a:xfrm>
                            <a:off x="1820181" y="311149"/>
                            <a:ext cx="804545" cy="353651"/>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9" name="Elbow Connector 309"/>
                        <wps:cNvCnPr>
                          <a:stCxn id="301" idx="2"/>
                          <a:endCxn id="300" idx="0"/>
                        </wps:cNvCnPr>
                        <wps:spPr>
                          <a:xfrm rot="16200000" flipH="1">
                            <a:off x="1006040" y="1713197"/>
                            <a:ext cx="252406" cy="221445"/>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0" name="Elbow Connector 310"/>
                        <wps:cNvCnPr>
                          <a:stCxn id="301" idx="2"/>
                          <a:endCxn id="299" idx="0"/>
                        </wps:cNvCnPr>
                        <wps:spPr>
                          <a:xfrm rot="5400000">
                            <a:off x="755244" y="1683416"/>
                            <a:ext cx="252351" cy="280205"/>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1" name="Text Box 311"/>
                        <wps:cNvSpPr txBox="1"/>
                        <wps:spPr>
                          <a:xfrm>
                            <a:off x="654879" y="57642"/>
                            <a:ext cx="149470" cy="208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443C" w:rsidRDefault="00B0443C" w:rsidP="000C570C">
                              <w:pPr>
                                <w:spacing w:after="0" w:line="240" w:lineRule="auto"/>
                              </w:pPr>
                              <w:r>
                                <w:t>4</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noAutofit/>
                        </wps:bodyPr>
                      </wps:wsp>
                      <wps:wsp>
                        <wps:cNvPr id="312" name="Text Box 61"/>
                        <wps:cNvSpPr txBox="1"/>
                        <wps:spPr>
                          <a:xfrm>
                            <a:off x="1524271" y="996015"/>
                            <a:ext cx="149225" cy="207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443C" w:rsidRDefault="00B0443C" w:rsidP="000C570C">
                              <w:pPr>
                                <w:pStyle w:val="NormalWeb"/>
                                <w:spacing w:before="0" w:beforeAutospacing="0" w:after="0" w:afterAutospacing="0" w:line="276" w:lineRule="auto"/>
                              </w:pPr>
                              <w:r>
                                <w:rPr>
                                  <w:rFonts w:eastAsia="Calibri"/>
                                  <w:sz w:val="22"/>
                                  <w:szCs w:val="22"/>
                                </w:rPr>
                                <w:t>3</w:t>
                              </w:r>
                            </w:p>
                          </w:txbxContent>
                        </wps:txbx>
                        <wps:bodyPr rot="0" spcFirstLastPara="0" vert="horz" wrap="none" lIns="36000" tIns="0" rIns="36000" bIns="0" numCol="1" spcCol="0" rtlCol="0" fromWordArt="0" anchor="t" anchorCtr="0" forceAA="0" compatLnSpc="1">
                          <a:prstTxWarp prst="textNoShape">
                            <a:avLst/>
                          </a:prstTxWarp>
                          <a:noAutofit/>
                        </wps:bodyPr>
                      </wps:wsp>
                      <wps:wsp>
                        <wps:cNvPr id="313" name="Text Box 61"/>
                        <wps:cNvSpPr txBox="1"/>
                        <wps:spPr>
                          <a:xfrm>
                            <a:off x="2019571" y="995836"/>
                            <a:ext cx="149225" cy="207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443C" w:rsidRDefault="00B0443C" w:rsidP="000C570C">
                              <w:pPr>
                                <w:pStyle w:val="NormalWeb"/>
                                <w:spacing w:before="0" w:beforeAutospacing="0" w:after="0" w:afterAutospacing="0" w:line="276" w:lineRule="auto"/>
                              </w:pPr>
                              <w:r>
                                <w:rPr>
                                  <w:rFonts w:eastAsia="Calibri"/>
                                  <w:sz w:val="22"/>
                                  <w:szCs w:val="22"/>
                                </w:rPr>
                                <w:t>2</w:t>
                              </w:r>
                            </w:p>
                          </w:txbxContent>
                        </wps:txbx>
                        <wps:bodyPr rot="0" spcFirstLastPara="0" vert="horz" wrap="none" lIns="36000" tIns="0" rIns="36000" bIns="0" numCol="1" spcCol="0" rtlCol="0" fromWordArt="0" anchor="t" anchorCtr="0" forceAA="0" compatLnSpc="1">
                          <a:prstTxWarp prst="textNoShape">
                            <a:avLst/>
                          </a:prstTxWarp>
                          <a:noAutofit/>
                        </wps:bodyPr>
                      </wps:wsp>
                      <wps:wsp>
                        <wps:cNvPr id="314" name="Text Box 61"/>
                        <wps:cNvSpPr txBox="1"/>
                        <wps:spPr>
                          <a:xfrm>
                            <a:off x="2261535" y="51527"/>
                            <a:ext cx="149225" cy="207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443C" w:rsidRDefault="00B0443C" w:rsidP="000C570C">
                              <w:pPr>
                                <w:pStyle w:val="NormalWeb"/>
                                <w:spacing w:before="0" w:beforeAutospacing="0" w:after="0" w:afterAutospacing="0" w:line="276" w:lineRule="auto"/>
                              </w:pPr>
                              <w:r>
                                <w:rPr>
                                  <w:rFonts w:eastAsia="Calibri"/>
                                  <w:sz w:val="22"/>
                                  <w:szCs w:val="22"/>
                                </w:rPr>
                                <w:t>1</w:t>
                              </w:r>
                            </w:p>
                          </w:txbxContent>
                        </wps:txbx>
                        <wps:bodyPr rot="0" spcFirstLastPara="0" vert="horz" wrap="none" lIns="36000" tIns="0" rIns="36000" bIns="0" numCol="1" spcCol="0" rtlCol="0" fromWordArt="0" anchor="t" anchorCtr="0" forceAA="0" compatLnSpc="1">
                          <a:prstTxWarp prst="textNoShape">
                            <a:avLst/>
                          </a:prstTxWarp>
                          <a:noAutofit/>
                        </wps:bodyPr>
                      </wps:wsp>
                      <wps:wsp>
                        <wps:cNvPr id="315" name="Text Box 61"/>
                        <wps:cNvSpPr txBox="1"/>
                        <wps:spPr>
                          <a:xfrm>
                            <a:off x="193413" y="920376"/>
                            <a:ext cx="334890" cy="207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443C" w:rsidRDefault="00B0443C" w:rsidP="000C570C">
                              <w:pPr>
                                <w:pStyle w:val="NormalWeb"/>
                                <w:spacing w:before="0" w:beforeAutospacing="0" w:after="0" w:afterAutospacing="0" w:line="276" w:lineRule="auto"/>
                              </w:pPr>
                              <w:r>
                                <w:rPr>
                                  <w:rFonts w:eastAsia="Calibri"/>
                                  <w:sz w:val="22"/>
                                  <w:szCs w:val="22"/>
                                </w:rPr>
                                <w:t>46%</w:t>
                              </w:r>
                            </w:p>
                          </w:txbxContent>
                        </wps:txbx>
                        <wps:bodyPr rot="0" spcFirstLastPara="0" vert="horz" wrap="none" lIns="36000" tIns="0" rIns="36000" bIns="0" numCol="1" spcCol="0" rtlCol="0" fromWordArt="0" anchor="t" anchorCtr="0" forceAA="0" compatLnSpc="1">
                          <a:prstTxWarp prst="textNoShape">
                            <a:avLst/>
                          </a:prstTxWarp>
                          <a:noAutofit/>
                        </wps:bodyPr>
                      </wps:wsp>
                      <wps:wsp>
                        <wps:cNvPr id="316" name="Text Box 61"/>
                        <wps:cNvSpPr txBox="1"/>
                        <wps:spPr>
                          <a:xfrm>
                            <a:off x="753515" y="919608"/>
                            <a:ext cx="357750" cy="207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443C" w:rsidRDefault="00B0443C" w:rsidP="000C570C">
                              <w:pPr>
                                <w:pStyle w:val="NormalWeb"/>
                                <w:spacing w:before="0" w:beforeAutospacing="0" w:after="0" w:afterAutospacing="0" w:line="276" w:lineRule="auto"/>
                              </w:pPr>
                              <w:r>
                                <w:t>54%</w:t>
                              </w:r>
                            </w:p>
                          </w:txbxContent>
                        </wps:txbx>
                        <wps:bodyPr rot="0" spcFirstLastPara="0" vert="horz" wrap="none" lIns="36000" tIns="0" rIns="36000" bIns="0" numCol="1" spcCol="0" rtlCol="0" fromWordArt="0" anchor="t" anchorCtr="0" forceAA="0" compatLnSpc="1">
                          <a:prstTxWarp prst="textNoShape">
                            <a:avLst/>
                          </a:prstTxWarp>
                          <a:noAutofit/>
                        </wps:bodyPr>
                      </wps:wsp>
                      <wps:wsp>
                        <wps:cNvPr id="114" name="Rectangle 114"/>
                        <wps:cNvSpPr/>
                        <wps:spPr>
                          <a:xfrm>
                            <a:off x="1817824" y="1991437"/>
                            <a:ext cx="384810" cy="38036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3C" w:rsidRDefault="00B0443C" w:rsidP="000C570C">
                              <w:pPr>
                                <w:pStyle w:val="NormalWeb"/>
                                <w:spacing w:before="0" w:beforeAutospacing="0" w:after="0" w:afterAutospacing="0" w:line="276" w:lineRule="auto"/>
                                <w:jc w:val="center"/>
                              </w:pPr>
                              <w:r>
                                <w:rPr>
                                  <w:rFonts w:eastAsia="Calibri"/>
                                  <w:color w:val="000000"/>
                                  <w:sz w:val="22"/>
                                  <w:szCs w:val="22"/>
                                </w:rPr>
                                <w:t xml:space="preserve">A5.J </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5" name="Rectangle 115"/>
                        <wps:cNvSpPr/>
                        <wps:spPr>
                          <a:xfrm>
                            <a:off x="2401447" y="1992406"/>
                            <a:ext cx="579034" cy="38036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3C" w:rsidRDefault="00B0443C" w:rsidP="000C570C">
                              <w:pPr>
                                <w:pStyle w:val="NormalWeb"/>
                                <w:spacing w:before="0" w:beforeAutospacing="0" w:after="0" w:afterAutospacing="0" w:line="276" w:lineRule="auto"/>
                                <w:jc w:val="center"/>
                              </w:pPr>
                              <w:r>
                                <w:rPr>
                                  <w:rFonts w:eastAsia="Calibri"/>
                                  <w:color w:val="000000"/>
                                  <w:sz w:val="22"/>
                                  <w:szCs w:val="22"/>
                                </w:rPr>
                                <w:t xml:space="preserve">A5.CDS </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6" name="Rectangle 116"/>
                        <wps:cNvSpPr/>
                        <wps:spPr>
                          <a:xfrm>
                            <a:off x="3139023" y="1992997"/>
                            <a:ext cx="384810" cy="38036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3C" w:rsidRDefault="00B0443C" w:rsidP="000C570C">
                              <w:pPr>
                                <w:pStyle w:val="NormalWeb"/>
                                <w:spacing w:before="0" w:beforeAutospacing="0" w:after="0" w:afterAutospacing="0" w:line="276" w:lineRule="auto"/>
                                <w:jc w:val="center"/>
                              </w:pPr>
                              <w:r>
                                <w:rPr>
                                  <w:rFonts w:eastAsia="Calibri"/>
                                  <w:color w:val="000000"/>
                                  <w:sz w:val="22"/>
                                  <w:szCs w:val="22"/>
                                </w:rPr>
                                <w:t xml:space="preserve">A5.S </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18" name="Elbow Connector 318"/>
                        <wps:cNvCnPr>
                          <a:stCxn id="298" idx="2"/>
                          <a:endCxn id="114" idx="0"/>
                        </wps:cNvCnPr>
                        <wps:spPr>
                          <a:xfrm rot="5400000">
                            <a:off x="1989242" y="1718231"/>
                            <a:ext cx="293929" cy="252482"/>
                          </a:xfrm>
                          <a:prstGeom prst="bentConnector3">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66" name="Elbow Connector 66"/>
                        <wps:cNvCnPr>
                          <a:stCxn id="298" idx="3"/>
                          <a:endCxn id="115" idx="0"/>
                        </wps:cNvCnPr>
                        <wps:spPr>
                          <a:xfrm>
                            <a:off x="2505589" y="1507008"/>
                            <a:ext cx="185021" cy="485398"/>
                          </a:xfrm>
                          <a:prstGeom prst="bentConnector2">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80" name="Elbow Connector 80"/>
                        <wps:cNvCnPr>
                          <a:endCxn id="116" idx="0"/>
                        </wps:cNvCnPr>
                        <wps:spPr>
                          <a:xfrm>
                            <a:off x="2505589" y="1507008"/>
                            <a:ext cx="825401" cy="485989"/>
                          </a:xfrm>
                          <a:prstGeom prst="bentConnector2">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21" name="Text Box 61"/>
                        <wps:cNvSpPr txBox="1"/>
                        <wps:spPr>
                          <a:xfrm>
                            <a:off x="2054001" y="1742947"/>
                            <a:ext cx="149225" cy="20701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B0443C" w:rsidRDefault="00B0443C" w:rsidP="000C570C">
                              <w:pPr>
                                <w:pStyle w:val="NormalWeb"/>
                                <w:spacing w:before="0" w:beforeAutospacing="0" w:after="0" w:afterAutospacing="0" w:line="276" w:lineRule="auto"/>
                              </w:pPr>
                              <w:r>
                                <w:rPr>
                                  <w:rFonts w:eastAsia="Calibri"/>
                                  <w:sz w:val="22"/>
                                  <w:szCs w:val="22"/>
                                </w:rPr>
                                <w:t>1</w:t>
                              </w:r>
                            </w:p>
                          </w:txbxContent>
                        </wps:txbx>
                        <wps:bodyPr rot="0" spcFirstLastPara="0" vert="horz" wrap="none" lIns="36000" tIns="0" rIns="36000" bIns="0" numCol="1" spcCol="0" rtlCol="0" fromWordArt="0" anchor="t" anchorCtr="0" forceAA="0" compatLnSpc="1">
                          <a:prstTxWarp prst="textNoShape">
                            <a:avLst/>
                          </a:prstTxWarp>
                          <a:noAutofit/>
                        </wps:bodyPr>
                      </wps:wsp>
                      <wps:wsp>
                        <wps:cNvPr id="122" name="Text Box 61"/>
                        <wps:cNvSpPr txBox="1"/>
                        <wps:spPr>
                          <a:xfrm>
                            <a:off x="2619531" y="1685252"/>
                            <a:ext cx="149225" cy="20701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B0443C" w:rsidRDefault="00B0443C" w:rsidP="000C570C">
                              <w:pPr>
                                <w:pStyle w:val="NormalWeb"/>
                                <w:spacing w:before="0" w:beforeAutospacing="0" w:after="0" w:afterAutospacing="0" w:line="276" w:lineRule="auto"/>
                              </w:pPr>
                              <w:r>
                                <w:rPr>
                                  <w:rFonts w:eastAsia="Calibri"/>
                                  <w:sz w:val="22"/>
                                  <w:szCs w:val="22"/>
                                </w:rPr>
                                <w:t>2</w:t>
                              </w:r>
                            </w:p>
                          </w:txbxContent>
                        </wps:txbx>
                        <wps:bodyPr rot="0" spcFirstLastPara="0" vert="horz" wrap="none" lIns="36000" tIns="0" rIns="36000" bIns="0" numCol="1" spcCol="0" rtlCol="0" fromWordArt="0" anchor="t" anchorCtr="0" forceAA="0" compatLnSpc="1">
                          <a:prstTxWarp prst="textNoShape">
                            <a:avLst/>
                          </a:prstTxWarp>
                          <a:noAutofit/>
                        </wps:bodyPr>
                      </wps:wsp>
                      <wps:wsp>
                        <wps:cNvPr id="123" name="Text Box 61"/>
                        <wps:cNvSpPr txBox="1"/>
                        <wps:spPr>
                          <a:xfrm>
                            <a:off x="3270440" y="1685078"/>
                            <a:ext cx="149225" cy="20701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B0443C" w:rsidRDefault="00B0443C" w:rsidP="000C570C">
                              <w:pPr>
                                <w:pStyle w:val="NormalWeb"/>
                                <w:spacing w:before="0" w:beforeAutospacing="0" w:after="0" w:afterAutospacing="0" w:line="276" w:lineRule="auto"/>
                              </w:pPr>
                              <w:r>
                                <w:rPr>
                                  <w:rFonts w:eastAsia="Calibri"/>
                                  <w:sz w:val="22"/>
                                  <w:szCs w:val="22"/>
                                </w:rPr>
                                <w:t>3</w:t>
                              </w:r>
                            </w:p>
                          </w:txbxContent>
                        </wps:txbx>
                        <wps:bodyPr rot="0" spcFirstLastPara="0" vert="horz" wrap="none" lIns="36000" tIns="0" rIns="36000" bIns="0" numCol="1" spcCol="0" rtlCol="0" fromWordArt="0" anchor="t" anchorCtr="0" forceAA="0" compatLnSpc="1">
                          <a:prstTxWarp prst="textNoShape">
                            <a:avLst/>
                          </a:prstTxWarp>
                          <a:noAutofit/>
                        </wps:bodyPr>
                      </wps:wsp>
                    </wpc:wpc>
                  </a:graphicData>
                </a:graphic>
              </wp:inline>
            </w:drawing>
          </mc:Choice>
          <mc:Fallback>
            <w:pict>
              <v:group w14:anchorId="487CDDC4" id="Canvas 317" o:spid="_x0000_s1051" editas="canvas" style="width:282.95pt;height:201.85pt;mso-position-horizontal-relative:char;mso-position-vertical-relative:line" coordsize="35934,25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">
                <v:shape id="_x0000_s1052" type="#_x0000_t75" style="position:absolute;width:35934;height:25634;visibility:visible;mso-wrap-style:square">
                  <v:fill o:detectmouseclick="t"/>
                  <v:path o:connecttype="none"/>
                </v:shape>
                <v:rect id="Rectangle 289" o:spid="_x0000_s1053" style="position:absolute;left:12617;top:1206;width:5584;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pX68QA&#10;AADcAAAADwAAAGRycy9kb3ducmV2LnhtbESPzWrDMBCE74W8g9hAb4kcU0LiRDalUGiPzR/0trU2&#10;lhtrpVpq4rx9FQj0OMzMN8y6GmwnztSH1rGC2TQDQVw73XKjYLd9nSxAhIissXNMCq4UoCpHD2ss&#10;tLvwB503sREJwqFABSZGX0gZakMWw9R54uQdXW8xJtk3Uvd4SXDbyTzL5tJiy2nBoKcXQ/Vp82sV&#10;DF/zJ3/9xq3/PMzCuzan/GefKfU4Hp5XICIN8T98b79pBfliCbcz6QjI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aV+vEAAAA3AAAAA8AAAAAAAAAAAAAAAAAmAIAAGRycy9k&#10;b3ducmV2LnhtbFBLBQYAAAAABAAEAPUAAACJAwAAAAA=&#10;" filled="f" strokecolor="black [3213]" strokeweight="1pt">
                  <v:textbox inset="1mm,0,1mm,0">
                    <w:txbxContent>
                      <w:p w:rsidR="00B0443C" w:rsidRPr="00E92A03" w:rsidRDefault="00B0443C" w:rsidP="000C570C">
                        <w:pPr>
                          <w:spacing w:after="0" w:line="240" w:lineRule="auto"/>
                          <w:jc w:val="center"/>
                          <w:rPr>
                            <w:color w:val="000000" w:themeColor="text1"/>
                          </w:rPr>
                        </w:pPr>
                        <w:r>
                          <w:rPr>
                            <w:color w:val="000000" w:themeColor="text1"/>
                          </w:rPr>
                          <w:t>r</w:t>
                        </w:r>
                        <w:r w:rsidRPr="00E92A03">
                          <w:rPr>
                            <w:color w:val="000000" w:themeColor="text1"/>
                          </w:rPr>
                          <w:t>oot group</w:t>
                        </w:r>
                      </w:p>
                    </w:txbxContent>
                  </v:textbox>
                </v:rect>
                <v:rect id="Rectangle 291" o:spid="_x0000_s1054" style="position:absolute;left:2415;top:4555;width:563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XNMMQA&#10;AADcAAAADwAAAGRycy9kb3ducmV2LnhtbESPT2sCMRTE7wW/Q3iCt5rdpUi7NYoIhfboX+jtdfPc&#10;rG5e0k2q67c3gtDjMDO/Yabz3rbiTF1oHCvIxxkI4srphmsF283H8yuIEJE1to5JwZUCzGeDpymW&#10;2l14Red1rEWCcChRgYnRl1KGypDFMHaeOHkH11mMSXa11B1eEty2ssiyibTYcFow6GlpqDqt/6yC&#10;/mfy4q9H3PjvfR6+tDkVv7tMqdGwX7yDiNTH//Cj/akVFG853M+kIy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1zTDEAAAA3AAAAA8AAAAAAAAAAAAAAAAAmAIAAGRycy9k&#10;b3ducmV2LnhtbFBLBQYAAAAABAAEAPUAAACJAwAAAAA=&#10;" filled="f" strokecolor="black [3213]" strokeweight="1pt">
                  <v:textbox inset="1mm,0,1mm,0">
                    <w:txbxContent>
                      <w:p w:rsidR="00B0443C" w:rsidRDefault="00B0443C" w:rsidP="000C570C">
                        <w:pPr>
                          <w:pStyle w:val="NormalWeb"/>
                          <w:spacing w:before="0" w:beforeAutospacing="0" w:after="0" w:afterAutospacing="0" w:line="276" w:lineRule="auto"/>
                          <w:jc w:val="center"/>
                        </w:pPr>
                        <w:r>
                          <w:rPr>
                            <w:rFonts w:eastAsia="Calibri"/>
                            <w:color w:val="000000"/>
                            <w:sz w:val="22"/>
                            <w:szCs w:val="22"/>
                          </w:rPr>
                          <w:t>A1-A3 group</w:t>
                        </w:r>
                      </w:p>
                    </w:txbxContent>
                  </v:textbox>
                </v:rect>
                <v:rect id="Rectangle 294" o:spid="_x0000_s1055" style="position:absolute;left:23303;top:6648;width:5887;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uqMMA&#10;AADcAAAADwAAAGRycy9kb3ducmV2LnhtbESPQWsCMRSE7wX/Q3hCbzXrIlJXo4hQaI/VKnh7bp6b&#10;1c1L3KS6/nsjFHocZuYbZrbobCOu1IbasYLhIANBXDpdc6XgZ/Px9g4iRGSNjWNScKcAi3nvZYaF&#10;djf+pus6ViJBOBSowMToCylDachiGDhPnLyjay3GJNtK6hZvCW4bmWfZWFqsOS0Y9LQyVJ7Xv1ZB&#10;dxiP/P2EG7/fDcOXNuf8ss2Ueu13yymISF38D/+1P7WCfDKC55l0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uqMMAAADcAAAADwAAAAAAAAAAAAAAAACYAgAAZHJzL2Rv&#10;d25yZXYueG1sUEsFBgAAAAAEAAQA9QAAAIgDAAAAAA==&#10;" filled="f" strokecolor="black [3213]" strokeweight="1pt">
                  <v:textbox inset="1mm,0,1mm,0">
                    <w:txbxContent>
                      <w:p w:rsidR="00B0443C" w:rsidRDefault="00B0443C" w:rsidP="000C570C">
                        <w:pPr>
                          <w:pStyle w:val="NormalWeb"/>
                          <w:spacing w:before="0" w:beforeAutospacing="0" w:after="0" w:afterAutospacing="0" w:line="276" w:lineRule="auto"/>
                          <w:jc w:val="center"/>
                        </w:pPr>
                        <w:r>
                          <w:rPr>
                            <w:rFonts w:eastAsia="Calibri"/>
                            <w:color w:val="000000"/>
                            <w:sz w:val="22"/>
                            <w:szCs w:val="22"/>
                          </w:rPr>
                          <w:t>B1-B6 group</w:t>
                        </w:r>
                      </w:p>
                    </w:txbxContent>
                  </v:textbox>
                </v:rect>
                <v:rect id="Rectangle 295" o:spid="_x0000_s1056" style="position:absolute;left:2415;top:13167;width:3852;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7LM8QA&#10;AADcAAAADwAAAGRycy9kb3ducmV2LnhtbESPQWsCMRSE74L/ITyhN826tFK3RhFBsMeqLfT23Lxu&#10;VjcvcZPq+u+bguBxmJlvmNmis424UBtqxwrGowwEcel0zZWC/W49fAURIrLGxjEpuFGAxbzfm2Gh&#10;3ZU/6LKNlUgQDgUqMDH6QspQGrIYRs4TJ+/HtRZjkm0ldYvXBLeNzLNsIi3WnBYMeloZKk/bX6ug&#10;O0ye/e2IO//9NQ7v2pzy82em1NOgW76BiNTFR/je3mgF+fQF/s+k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OyzPEAAAA3AAAAA8AAAAAAAAAAAAAAAAAmAIAAGRycy9k&#10;b3ducmV2LnhtbFBLBQYAAAAABAAEAPUAAACJAwAAAAA=&#10;" filled="f" strokecolor="black [3213]" strokeweight="1pt">
                  <v:textbox inset="1mm,0,1mm,0">
                    <w:txbxContent>
                      <w:p w:rsidR="00B0443C" w:rsidRDefault="00B0443C" w:rsidP="000C570C">
                        <w:pPr>
                          <w:pStyle w:val="NormalWeb"/>
                          <w:spacing w:before="0" w:beforeAutospacing="0" w:after="0" w:afterAutospacing="0" w:line="276" w:lineRule="auto"/>
                          <w:jc w:val="center"/>
                        </w:pPr>
                        <w:r>
                          <w:rPr>
                            <w:rFonts w:eastAsia="Calibri"/>
                            <w:color w:val="000000"/>
                            <w:sz w:val="22"/>
                            <w:szCs w:val="22"/>
                          </w:rPr>
                          <w:t xml:space="preserve">A1 </w:t>
                        </w:r>
                      </w:p>
                    </w:txbxContent>
                  </v:textbox>
                </v:rect>
                <v:rect id="Rectangle 297" o:spid="_x0000_s1057" style="position:absolute;left:15242;top:13166;width:3848;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Dw38QA&#10;AADcAAAADwAAAGRycy9kb3ducmV2LnhtbESPQWsCMRSE74X+h/AEbzXrIrauRilCoR6rVvD23Dw3&#10;q5uXuIm6/vumUOhxmJlvmNmis424URtqxwqGgwwEcel0zZWC7ebj5Q1EiMgaG8ek4EEBFvPnpxkW&#10;2t35i27rWIkE4VCgAhOjL6QMpSGLYeA8cfKOrrUYk2wrqVu8J7htZJ5lY2mx5rRg0NPSUHleX62C&#10;7jAe+ccJN36/G4aVNuf88p0p1e9171MQkbr4H/5rf2oF+eQVfs+kIy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Q8N/EAAAA3AAAAA8AAAAAAAAAAAAAAAAAmAIAAGRycy9k&#10;b3ducmV2LnhtbFBLBQYAAAAABAAEAPUAAACJAwAAAAA=&#10;" filled="f" strokecolor="black [3213]" strokeweight="1pt">
                  <v:textbox inset="1mm,0,1mm,0">
                    <w:txbxContent>
                      <w:p w:rsidR="00B0443C" w:rsidRDefault="00B0443C" w:rsidP="000C570C">
                        <w:pPr>
                          <w:pStyle w:val="NormalWeb"/>
                          <w:spacing w:before="0" w:beforeAutospacing="0" w:after="0" w:afterAutospacing="0" w:line="276" w:lineRule="auto"/>
                          <w:jc w:val="center"/>
                        </w:pPr>
                        <w:r>
                          <w:rPr>
                            <w:rFonts w:eastAsia="Calibri"/>
                            <w:color w:val="000000"/>
                            <w:sz w:val="22"/>
                            <w:szCs w:val="22"/>
                          </w:rPr>
                          <w:t xml:space="preserve">A4 </w:t>
                        </w:r>
                      </w:p>
                    </w:txbxContent>
                  </v:textbox>
                </v:rect>
                <v:rect id="Rectangle 298" o:spid="_x0000_s1058" style="position:absolute;left:20195;top:13165;width:4864;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9krcEA&#10;AADcAAAADwAAAGRycy9kb3ducmV2LnhtbERPz2vCMBS+D/Y/hDfwtqYWka0ayxgMtqM6B96ezbPp&#10;2rxkTab1vzcHwePH93tZjbYXJxpC61jBNMtBENdOt9wo+N5+PL+ACBFZY++YFFwoQLV6fFhiqd2Z&#10;13TaxEakEA4lKjAx+lLKUBuyGDLniRN3dIPFmODQSD3gOYXbXhZ5PpcWW04NBj29G6q7zb9VMB7m&#10;M3/5xa3f/0zDlzZd8bfLlZo8jW8LEJHGeBff3J9aQfGa1qYz6QjI1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PZK3BAAAA3AAAAA8AAAAAAAAAAAAAAAAAmAIAAGRycy9kb3du&#10;cmV2LnhtbFBLBQYAAAAABAAEAPUAAACGAwAAAAA=&#10;" filled="f" strokecolor="black [3213]" strokeweight="1pt">
                  <v:textbox inset="1mm,0,1mm,0">
                    <w:txbxContent>
                      <w:p w:rsidR="00B0443C" w:rsidRDefault="00B0443C" w:rsidP="000C570C">
                        <w:pPr>
                          <w:pStyle w:val="NormalWeb"/>
                          <w:spacing w:before="0" w:beforeAutospacing="0" w:after="0" w:afterAutospacing="0" w:line="276" w:lineRule="auto"/>
                          <w:jc w:val="center"/>
                        </w:pPr>
                        <w:r>
                          <w:rPr>
                            <w:rFonts w:eastAsia="Calibri"/>
                            <w:color w:val="000000"/>
                            <w:sz w:val="22"/>
                            <w:szCs w:val="22"/>
                          </w:rPr>
                          <w:t xml:space="preserve">A5 group </w:t>
                        </w:r>
                      </w:p>
                    </w:txbxContent>
                  </v:textbox>
                </v:rect>
                <v:rect id="Rectangle 299" o:spid="_x0000_s1059" style="position:absolute;left:5489;top:19501;width:3848;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PBNsQA&#10;AADcAAAADwAAAGRycy9kb3ducmV2LnhtbESPT2sCMRTE7wW/Q3iCt5p1KVK3RhFBaI/+K/T2unlu&#10;VjcvcZPq+u2NIPQ4zMxvmOm8s424UBtqxwpGwwwEcel0zZWC3Xb1+g4iRGSNjWNScKMA81nvZYqF&#10;dlde02UTK5EgHApUYGL0hZShNGQxDJ0nTt7BtRZjkm0ldYvXBLeNzLNsLC3WnBYMeloaKk+bP6ug&#10;+x2/+dsRt/7nexS+tDnl532m1KDfLT5AROrif/jZ/tQK8skEHmfSEZ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DwTbEAAAA3AAAAA8AAAAAAAAAAAAAAAAAmAIAAGRycy9k&#10;b3ducmV2LnhtbFBLBQYAAAAABAAEAPUAAACJAwAAAAA=&#10;" filled="f" strokecolor="black [3213]" strokeweight="1pt">
                  <v:textbox inset="1mm,0,1mm,0">
                    <w:txbxContent>
                      <w:p w:rsidR="00B0443C" w:rsidRDefault="00B0443C" w:rsidP="000C570C">
                        <w:pPr>
                          <w:pStyle w:val="NormalWeb"/>
                          <w:spacing w:before="0" w:beforeAutospacing="0" w:after="0" w:afterAutospacing="0" w:line="276" w:lineRule="auto"/>
                          <w:jc w:val="center"/>
                        </w:pPr>
                        <w:r>
                          <w:rPr>
                            <w:rFonts w:eastAsia="Calibri"/>
                            <w:color w:val="000000"/>
                            <w:sz w:val="22"/>
                            <w:szCs w:val="22"/>
                          </w:rPr>
                          <w:t xml:space="preserve">A2 </w:t>
                        </w:r>
                      </w:p>
                    </w:txbxContent>
                  </v:textbox>
                </v:rect>
                <v:rect id="Rectangle 300" o:spid="_x0000_s1060" style="position:absolute;left:10505;top:19501;width:3848;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LyscAA&#10;AADcAAAADwAAAGRycy9kb3ducmV2LnhtbERPy2oCMRTdF/yHcIXuaqItUkajiFCoy/oouLtOrpPR&#10;yU2cRB3/vlkUXB7OezrvXCNu1Mbas4bhQIEgLr2pudKw3Xy9fYKICdlg45k0PCjCfNZ7mWJh/J1/&#10;6LZOlcghHAvUYFMKhZSxtOQwDnwgztzRtw5Thm0lTYv3HO4aOVJqLB3WnBssBlpaKs/rq9PQHcYf&#10;4XHCTdj/DuPK2PPoslNav/a7xQREoi49xf/ub6PhXeX5+Uw+AnL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LyscAAAADcAAAADwAAAAAAAAAAAAAAAACYAgAAZHJzL2Rvd25y&#10;ZXYueG1sUEsFBgAAAAAEAAQA9QAAAIUDAAAAAA==&#10;" filled="f" strokecolor="black [3213]" strokeweight="1pt">
                  <v:textbox inset="1mm,0,1mm,0">
                    <w:txbxContent>
                      <w:p w:rsidR="00B0443C" w:rsidRDefault="00B0443C" w:rsidP="000C570C">
                        <w:pPr>
                          <w:pStyle w:val="NormalWeb"/>
                          <w:spacing w:before="0" w:beforeAutospacing="0" w:after="0" w:afterAutospacing="0" w:line="276" w:lineRule="auto"/>
                          <w:jc w:val="center"/>
                        </w:pPr>
                        <w:r>
                          <w:rPr>
                            <w:rFonts w:eastAsia="Calibri"/>
                            <w:color w:val="000000"/>
                            <w:sz w:val="22"/>
                            <w:szCs w:val="22"/>
                          </w:rPr>
                          <w:t xml:space="preserve">A3 </w:t>
                        </w:r>
                      </w:p>
                    </w:txbxContent>
                  </v:textbox>
                </v:rect>
                <v:rect id="Rectangle 301" o:spid="_x0000_s1061" style="position:absolute;left:7432;top:13167;width:5566;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5XKsMA&#10;AADcAAAADwAAAGRycy9kb3ducmV2LnhtbESPQWsCMRSE74L/IbxCbzVZFSlboxShUI/VKvT2unnd&#10;bN28pJtU139vBMHjMDPfMPNl71pxpC42njUUIwWCuPKm4VrD5/bt6RlETMgGW8+k4UwRlovhYI6l&#10;8Sf+oOMm1SJDOJaowaYUSiljZclhHPlAnL0f3zlMWXa1NB2eMty1cqzUTDpsOC9YDLSyVB02/05D&#10;/z2bhvMvbsPXvohrYw/jv53S+vGhf30BkahP9/Ct/W40TFQB1zP5CM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5XKsMAAADcAAAADwAAAAAAAAAAAAAAAACYAgAAZHJzL2Rv&#10;d25yZXYueG1sUEsFBgAAAAAEAAQA9QAAAIgDAAAAAA==&#10;" filled="f" strokecolor="black [3213]" strokeweight="1pt">
                  <v:textbox inset="1mm,0,1mm,0">
                    <w:txbxContent>
                      <w:p w:rsidR="00B0443C" w:rsidRDefault="00B0443C" w:rsidP="000C570C">
                        <w:pPr>
                          <w:pStyle w:val="NormalWeb"/>
                          <w:spacing w:before="0" w:beforeAutospacing="0" w:after="0" w:afterAutospacing="0" w:line="276" w:lineRule="auto"/>
                          <w:jc w:val="center"/>
                        </w:pPr>
                        <w:r>
                          <w:rPr>
                            <w:rFonts w:eastAsia="Calibri"/>
                            <w:color w:val="000000"/>
                            <w:sz w:val="22"/>
                            <w:szCs w:val="22"/>
                          </w:rPr>
                          <w:t>A2-A3 group</w:t>
                        </w:r>
                      </w:p>
                    </w:txbxContent>
                  </v:textbox>
                </v:rect>
                <v:shape id="Elbow Connector 302" o:spid="_x0000_s1062" type="#_x0000_t33" style="position:absolute;left:5230;top:3111;width:7387;height:1444;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eiasQAAADcAAAADwAAAGRycy9kb3ducmV2LnhtbESPQUsDMRSE70L/Q3gFbzbbCmK3TUsp&#10;CqIetHrp7bF5bhY3L0vymq7+eiMIHoeZ+YZZb0ffq0wxdYENzGcVKOIm2I5bA+9v91e3oJIgW+wD&#10;k4EvSrDdTC7WWNtw5lfKB2lVgXCq0YATGWqtU+PIY5qFgbh4HyF6lCJjq23Ec4H7Xi+q6kZ77Lgs&#10;OBxo76j5PJy8gWP8xmH5lF9E7tzu+ZQlP7qlMZfTcbcCJTTKf/iv/WANXFcL+D1TjoD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6JqxAAAANwAAAAPAAAAAAAAAAAA&#10;AAAAAKECAABkcnMvZG93bnJldi54bWxQSwUGAAAAAAQABAD5AAAAkgMAAAAA&#10;" strokecolor="black [3213]"/>
                <v:shape id="Elbow Connector 303" o:spid="_x0000_s1063" type="#_x0000_t34" style="position:absolute;left:2385;top:10321;width:4802;height:88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2qyscAAADcAAAADwAAAGRycy9kb3ducmV2LnhtbESPQWvCQBSE7wX/w/KE3urGCqVEN0EF&#10;i6ClGFNob6/ZZxLMvg3ZrYn/3hUKPQ4z8w2zSAfTiAt1rrasYDqJQBAXVtdcKsiPm6dXEM4ja2ws&#10;k4IrOUiT0cMCY217PtAl86UIEHYxKqi8b2MpXVGRQTexLXHwTrYz6IPsSqk77APcNPI5il6kwZrD&#10;QoUtrSsqztmvUbD+yb/P+ft+lX1eD19vfnfamv5DqcfxsJyD8DT4//Bfe6sVzKIZ3M+EIyC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HarKxwAAANwAAAAPAAAAAAAA&#10;AAAAAAAAAKECAABkcnMvZG93bnJldi54bWxQSwUGAAAAAAQABAD5AAAAlQMAAAAA&#10;" strokecolor="black [3213]"/>
                <v:shape id="Elbow Connector 304" o:spid="_x0000_s1064" type="#_x0000_t33" style="position:absolute;left:8045;top:6460;width:2170;height:670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8t0MIAAADcAAAADwAAAGRycy9kb3ducmV2LnhtbESPQYvCMBSE78L+h/AWvIim6rJKbRRx&#10;Ebxu9bK3R/PalG1eShNr/fdGEDwOM/MNk+0G24ieOl87VjCfJSCIC6drrhRczsfpGoQPyBobx6Tg&#10;Th52249Rhql2N/6lPg+ViBD2KSowIbSplL4wZNHPXEscvdJ1FkOUXSV1h7cIt41cJMm3tFhzXDDY&#10;0sFQ8Z9frQLMD3ttVvey/6Prz8XoyWmek1Ljz2G/ARFoCO/wq33SCpbJFzzPxCMgt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8t0MIAAADcAAAADwAAAAAAAAAAAAAA&#10;AAChAgAAZHJzL2Rvd25yZXYueG1sUEsFBgAAAAAEAAQA+QAAAJADAAAAAA==&#10;" strokecolor="black [3213]"/>
                <v:shape id="Elbow Connector 305" o:spid="_x0000_s1065" type="#_x0000_t34" style="position:absolute;left:12213;top:8212;width:8150;height:175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it88YAAADcAAAADwAAAGRycy9kb3ducmV2LnhtbESPQWsCMRSE7wX/Q3hCbzVrS1vZGkUE&#10;QREErYf29tg8N6ubl20S162/3giFHoeZ+YYZTztbi5Z8qBwrGA4yEMSF0xWXCvafi6cRiBCRNdaO&#10;ScEvBZhOeg9jzLW78JbaXSxFgnDIUYGJscmlDIUhi2HgGuLkHZy3GJP0pdQeLwlua/mcZW/SYsVp&#10;wWBDc0PFaXe2Ctb72YYcXr+OxfH9p/Wjldl8r5R67HezDxCRuvgf/msvtYKX7BXuZ9IR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orfPGAAAA3AAAAA8AAAAAAAAA&#10;AAAAAAAAoQIAAGRycy9kb3ducmV2LnhtbFBLBQYAAAAABAAEAPkAAACUAwAAAAA=&#10;" strokecolor="black [3213]"/>
                <v:shape id="Elbow Connector 306" o:spid="_x0000_s1066" type="#_x0000_t34" style="position:absolute;left:14943;top:5482;width:8149;height:721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ozhMYAAADcAAAADwAAAGRycy9kb3ducmV2LnhtbESPQWsCMRSE7wX/Q3iCt5ptBZXVKFIo&#10;VARBu4f29tg8N2s3L9skXdf++kYQehxm5htmue5tIzryoXas4GmcgSAuna65UlC8vz7OQYSIrLFx&#10;TAquFGC9GjwsMdfuwgfqjrESCcIhRwUmxjaXMpSGLIaxa4mTd3LeYkzSV1J7vCS4beRzlk2lxZrT&#10;gsGWXgyVX8cfq2BXbPbk8PfjXJ5n352fb83+c6vUaNhvFiAi9fE/fG+/aQWTbAq3M+k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6M4TGAAAA3AAAAA8AAAAAAAAA&#10;AAAAAAAAoQIAAGRycy9kb3ducmV2LnhtbFBLBQYAAAAABAAEAPkAAACUAwAAAAA=&#10;" strokecolor="black [3213]"/>
                <v:shape id="Elbow Connector 308" o:spid="_x0000_s1067" type="#_x0000_t33" style="position:absolute;left:18201;top:3111;width:8046;height:353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In1bwAAADcAAAADwAAAGRycy9kb3ducmV2LnhtbERPvQrCMBDeBd8hnOAimqqgUo0iiuBq&#10;dXE7mrMpNpfSxFrf3gyC48f3v9l1thItNb50rGA6SUAQ506XXCi4XU/jFQgfkDVWjknBhzzstv3e&#10;BlPt3nyhNguFiCHsU1RgQqhTKX1uyKKfuJo4cg/XWAwRNoXUDb5juK3kLEkW0mLJscFgTQdD+TN7&#10;WQWYHfbaLD+P9k6v483o0XmakVLDQbdfgwjUhb/45z5rBfMkro1n4hGQ2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IIn1bwAAADcAAAADwAAAAAAAAAAAAAAAAChAgAA&#10;ZHJzL2Rvd25yZXYueG1sUEsFBgAAAAAEAAQA+QAAAIoDAAAAAA==&#10;" strokecolor="black [3213]"/>
                <v:shape id="Elbow Connector 309" o:spid="_x0000_s1068" type="#_x0000_t34" style="position:absolute;left:10060;top:17132;width:2524;height:221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9sYAAADcAAAADwAAAGRycy9kb3ducmV2LnhtbESPQWsCMRSE70L/Q3iF3jRbBWtXo4hQ&#10;UASh1kN7e2yem7Wbl22Srqu/3giFHoeZ+YaZLTpbi5Z8qBwreB5kIIgLpysuFRw+3voTECEia6wd&#10;k4ILBVjMH3ozzLU78zu1+1iKBOGQowITY5NLGQpDFsPANcTJOzpvMSbpS6k9nhPc1nKYZWNpseK0&#10;YLChlaHie/9rFWwPyx05vH6eitPLT+snG7P72ij19NgtpyAidfE//NdeawWj7BXuZ9IR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lp/bGAAAA3AAAAA8AAAAAAAAA&#10;AAAAAAAAoQIAAGRycy9kb3ducmV2LnhtbFBLBQYAAAAABAAEAPkAAACUAwAAAAA=&#10;" strokecolor="black [3213]"/>
                <v:shape id="Elbow Connector 310" o:spid="_x0000_s1069" type="#_x0000_t34" style="position:absolute;left:7552;top:16834;width:2523;height:280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aiYMMAAADcAAAADwAAAGRycy9kb3ducmV2LnhtbERPTWvCQBC9F/wPywi91Y0tiKSuooJF&#10;UBFjCu1tzI5JMDsbsquJ/949CB4f73sy60wlbtS40rKC4SACQZxZXXKuID2uPsYgnEfWWFkmBXdy&#10;MJv23iYYa9vygW6Jz0UIYRejgsL7OpbSZQUZdANbEwfubBuDPsAml7rBNoSbSn5G0UgaLDk0FFjT&#10;sqDsklyNguUp/b+ku+0i+b0f/n785rw27V6p9343/wbhqfMv8dO91gq+hmF+O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WomDDAAAA3AAAAA8AAAAAAAAAAAAA&#10;AAAAoQIAAGRycy9kb3ducmV2LnhtbFBLBQYAAAAABAAEAPkAAACRAwAAAAA=&#10;" strokecolor="black [3213]"/>
                <v:shape id="Text Box 311" o:spid="_x0000_s1070" type="#_x0000_t202" style="position:absolute;left:6548;top:576;width:1495;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sCP8MA&#10;AADcAAAADwAAAGRycy9kb3ducmV2LnhtbESPX2vCMBTF3wW/Q7jC3jTtBBmdUdShlOHL6mCvl+au&#10;jTY3pUm1+/aLIPh4OH9+nOV6sI24UueNYwXpLAFBXDptuFLwfdpP30D4gKyxcUwK/sjDejUeLTHT&#10;7sZfdC1CJeII+wwV1CG0mZS+rMmin7mWOHq/rrMYouwqqTu8xXHbyNckWUiLhiOhxpZ2NZWXorcR&#10;0v/Mj1tntvtP5sPZ9Pnh45gr9TIZNu8gAg3hGX60c61gnqZwPx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sCP8MAAADcAAAADwAAAAAAAAAAAAAAAACYAgAAZHJzL2Rv&#10;d25yZXYueG1sUEsFBgAAAAAEAAQA9QAAAIgDAAAAAA==&#10;" fillcolor="white [3201]" strokeweight=".5pt">
                  <v:textbox inset="1mm,0,1mm,0">
                    <w:txbxContent>
                      <w:p w:rsidR="00B0443C" w:rsidRDefault="00B0443C" w:rsidP="000C570C">
                        <w:pPr>
                          <w:spacing w:after="0" w:line="240" w:lineRule="auto"/>
                        </w:pPr>
                        <w:r>
                          <w:t>4</w:t>
                        </w:r>
                      </w:p>
                    </w:txbxContent>
                  </v:textbox>
                </v:shape>
                <v:shape id="Text Box 61" o:spid="_x0000_s1071" type="#_x0000_t202" style="position:absolute;left:15242;top:9960;width:1492;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mcSMMA&#10;AADcAAAADwAAAGRycy9kb3ducmV2LnhtbESPS4vCMBSF98L8h3AHZqepCiLVKOMMShE3PsDtpbm2&#10;cZqb0qTa+fdGEFwezuPjzJedrcSNGm8cKxgOEhDEudOGCwWn47o/BeEDssbKMSn4Jw/LxUdvjql2&#10;d97T7RAKEUfYp6igDKFOpfR5SRb9wNXE0bu4xmKIsimkbvAex20lR0kykRYNR0KJNf2UlP8dWhsh&#10;7Xm8WzmzWm+ZN1fTZpvfXabU12f3PQMRqAvv8KudaQXj4Qi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mcSMMAAADcAAAADwAAAAAAAAAAAAAAAACYAgAAZHJzL2Rv&#10;d25yZXYueG1sUEsFBgAAAAAEAAQA9QAAAIgDAAAAAA==&#10;" fillcolor="white [3201]" strokeweight=".5pt">
                  <v:textbox inset="1mm,0,1mm,0">
                    <w:txbxContent>
                      <w:p w:rsidR="00B0443C" w:rsidRDefault="00B0443C" w:rsidP="000C570C">
                        <w:pPr>
                          <w:pStyle w:val="NormalWeb"/>
                          <w:spacing w:before="0" w:beforeAutospacing="0" w:after="0" w:afterAutospacing="0" w:line="276" w:lineRule="auto"/>
                        </w:pPr>
                        <w:r>
                          <w:rPr>
                            <w:rFonts w:eastAsia="Calibri"/>
                            <w:sz w:val="22"/>
                            <w:szCs w:val="22"/>
                          </w:rPr>
                          <w:t>3</w:t>
                        </w:r>
                      </w:p>
                    </w:txbxContent>
                  </v:textbox>
                </v:shape>
                <v:shape id="Text Box 61" o:spid="_x0000_s1072" type="#_x0000_t202" style="position:absolute;left:20195;top:9958;width:1492;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508MA&#10;AADcAAAADwAAAGRycy9kb3ducmV2LnhtbESPX2vCMBTF3wW/Q7iDvWnqCjI6o0yHUoYvq4Kvl+au&#10;jTY3pUm1+/aLIPh4OH9+nMVqsI24UueNYwWzaQKCuHTacKXgeNhO3kH4gKyxcUwK/sjDajkeLTDT&#10;7sY/dC1CJeII+wwV1CG0mZS+rMmin7qWOHq/rrMYouwqqTu8xXHbyLckmUuLhiOhxpY2NZWXorcR&#10;0p/S/dqZ9fabeXc2fb772udKvb4Mnx8gAg3hGX60c60gnaVwPxOP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508MAAADcAAAADwAAAAAAAAAAAAAAAACYAgAAZHJzL2Rv&#10;d25yZXYueG1sUEsFBgAAAAAEAAQA9QAAAIgDAAAAAA==&#10;" fillcolor="white [3201]" strokeweight=".5pt">
                  <v:textbox inset="1mm,0,1mm,0">
                    <w:txbxContent>
                      <w:p w:rsidR="00B0443C" w:rsidRDefault="00B0443C" w:rsidP="000C570C">
                        <w:pPr>
                          <w:pStyle w:val="NormalWeb"/>
                          <w:spacing w:before="0" w:beforeAutospacing="0" w:after="0" w:afterAutospacing="0" w:line="276" w:lineRule="auto"/>
                        </w:pPr>
                        <w:r>
                          <w:rPr>
                            <w:rFonts w:eastAsia="Calibri"/>
                            <w:sz w:val="22"/>
                            <w:szCs w:val="22"/>
                          </w:rPr>
                          <w:t>2</w:t>
                        </w:r>
                      </w:p>
                    </w:txbxContent>
                  </v:textbox>
                </v:shape>
                <v:shape id="Text Box 61" o:spid="_x0000_s1073" type="#_x0000_t202" style="position:absolute;left:22615;top:515;width:1492;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p8QA&#10;AADcAAAADwAAAGRycy9kb3ducmV2LnhtbESPX2vCMBTF34V9h3AHe5tp5xhSjbJuKEV8sRv4emmu&#10;bVxzU5pUu29vBgMfD+fPj7Ncj7YVF+q9cawgnSYgiCunDdcKvr82z3MQPiBrbB2Tgl/ysF49TJaY&#10;aXflA13KUIs4wj5DBU0IXSalrxqy6KeuI47eyfUWQ5R9LXWP1zhuW/mSJG/SouFIaLCjj4aqn3Kw&#10;ETIcZ/vcmXyzY96ezVBsP/eFUk+P4/sCRKAx3MP/7UIrmKWv8HcmHg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MoafEAAAA3AAAAA8AAAAAAAAAAAAAAAAAmAIAAGRycy9k&#10;b3ducmV2LnhtbFBLBQYAAAAABAAEAPUAAACJAwAAAAA=&#10;" fillcolor="white [3201]" strokeweight=".5pt">
                  <v:textbox inset="1mm,0,1mm,0">
                    <w:txbxContent>
                      <w:p w:rsidR="00B0443C" w:rsidRDefault="00B0443C" w:rsidP="000C570C">
                        <w:pPr>
                          <w:pStyle w:val="NormalWeb"/>
                          <w:spacing w:before="0" w:beforeAutospacing="0" w:after="0" w:afterAutospacing="0" w:line="276" w:lineRule="auto"/>
                        </w:pPr>
                        <w:r>
                          <w:rPr>
                            <w:rFonts w:eastAsia="Calibri"/>
                            <w:sz w:val="22"/>
                            <w:szCs w:val="22"/>
                          </w:rPr>
                          <w:t>1</w:t>
                        </w:r>
                      </w:p>
                    </w:txbxContent>
                  </v:textbox>
                </v:shape>
                <v:shape id="Text Box 61" o:spid="_x0000_s1074" type="#_x0000_t202" style="position:absolute;left:1934;top:9203;width:334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AEPMQA&#10;AADcAAAADwAAAGRycy9kb3ducmV2LnhtbESPX2vCMBTF34V9h3AHe5tpJxtSjbJuKEV8sRv4emmu&#10;bVxzU5pUu29vBgMfD+fPj7Ncj7YVF+q9cawgnSYgiCunDdcKvr82z3MQPiBrbB2Tgl/ysF49TJaY&#10;aXflA13KUIs4wj5DBU0IXSalrxqy6KeuI47eyfUWQ5R9LXWP1zhuW/mSJG/SouFIaLCjj4aqn3Kw&#10;ETIcZ/vcmXyzY96ezVBsP/eFUk+P4/sCRKAx3MP/7UIrmKWv8HcmHg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ABDzEAAAA3AAAAA8AAAAAAAAAAAAAAAAAmAIAAGRycy9k&#10;b3ducmV2LnhtbFBLBQYAAAAABAAEAPUAAACJAwAAAAA=&#10;" fillcolor="white [3201]" strokeweight=".5pt">
                  <v:textbox inset="1mm,0,1mm,0">
                    <w:txbxContent>
                      <w:p w:rsidR="00B0443C" w:rsidRDefault="00B0443C" w:rsidP="000C570C">
                        <w:pPr>
                          <w:pStyle w:val="NormalWeb"/>
                          <w:spacing w:before="0" w:beforeAutospacing="0" w:after="0" w:afterAutospacing="0" w:line="276" w:lineRule="auto"/>
                        </w:pPr>
                        <w:r>
                          <w:rPr>
                            <w:rFonts w:eastAsia="Calibri"/>
                            <w:sz w:val="22"/>
                            <w:szCs w:val="22"/>
                          </w:rPr>
                          <w:t>46%</w:t>
                        </w:r>
                      </w:p>
                    </w:txbxContent>
                  </v:textbox>
                </v:shape>
                <v:shape id="Text Box 61" o:spid="_x0000_s1075" type="#_x0000_t202" style="position:absolute;left:7535;top:9196;width:3577;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KaS8QA&#10;AADcAAAADwAAAGRycy9kb3ducmV2LnhtbESPy2rDMBBF94X8g5hAdo2cGExxo4Q8SDDFm6aFbgdr&#10;aquxRsaSY/fvq0Khy8t9HO5mN9lW3Kn3xrGC1TIBQVw5bbhW8P52fnwC4QOyxtYxKfgmD7vt7GGD&#10;uXYjv9L9GmoRR9jnqKAJocul9FVDFv3SdcTR+3S9xRBlX0vd4xjHbSvXSZJJi4YjocGOjg1Vt+tg&#10;I2T4SMuDM4fzC/PlywzF5VQWSi3m0/4ZRKAp/If/2oVWkK4y+D0Tj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SmkvEAAAA3AAAAA8AAAAAAAAAAAAAAAAAmAIAAGRycy9k&#10;b3ducmV2LnhtbFBLBQYAAAAABAAEAPUAAACJAwAAAAA=&#10;" fillcolor="white [3201]" strokeweight=".5pt">
                  <v:textbox inset="1mm,0,1mm,0">
                    <w:txbxContent>
                      <w:p w:rsidR="00B0443C" w:rsidRDefault="00B0443C" w:rsidP="000C570C">
                        <w:pPr>
                          <w:pStyle w:val="NormalWeb"/>
                          <w:spacing w:before="0" w:beforeAutospacing="0" w:after="0" w:afterAutospacing="0" w:line="276" w:lineRule="auto"/>
                        </w:pPr>
                        <w:r>
                          <w:t>54%</w:t>
                        </w:r>
                      </w:p>
                    </w:txbxContent>
                  </v:textbox>
                </v:shape>
                <v:rect id="Rectangle 114" o:spid="_x0000_s1076" style="position:absolute;left:18178;top:19914;width:3848;height:38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X8AA&#10;AADcAAAADwAAAGRycy9kb3ducmV2LnhtbERPTYvCMBC9L/gfwgje1rTiulKNRQRBvKkV9jg0Y1Nt&#10;JqWJWv+9WVjY2zze5yzz3jbiQZ2vHStIxwkI4tLpmisFxWn7OQfhA7LGxjEpeJGHfDX4WGKm3ZMP&#10;9DiGSsQQ9hkqMCG0mZS+NGTRj11LHLmL6yyGCLtK6g6fMdw2cpIkM2mx5thgsKWNofJ2vFsF+5aw&#10;1j/mulubr/Pr+1w0RZkoNRr26wWIQH34F/+5dzrOT6fw+0y8QK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Ma+X8AAAADcAAAADwAAAAAAAAAAAAAAAACYAgAAZHJzL2Rvd25y&#10;ZXYueG1sUEsFBgAAAAAEAAQA9QAAAIUDAAAAAA==&#10;" filled="f" strokecolor="red" strokeweight="1pt">
                  <v:textbox inset="1mm,0,1mm,0">
                    <w:txbxContent>
                      <w:p w:rsidR="00B0443C" w:rsidRDefault="00B0443C" w:rsidP="000C570C">
                        <w:pPr>
                          <w:pStyle w:val="NormalWeb"/>
                          <w:spacing w:before="0" w:beforeAutospacing="0" w:after="0" w:afterAutospacing="0" w:line="276" w:lineRule="auto"/>
                          <w:jc w:val="center"/>
                        </w:pPr>
                        <w:r>
                          <w:rPr>
                            <w:rFonts w:eastAsia="Calibri"/>
                            <w:color w:val="000000"/>
                            <w:sz w:val="22"/>
                            <w:szCs w:val="22"/>
                          </w:rPr>
                          <w:t xml:space="preserve">A5.J </w:t>
                        </w:r>
                      </w:p>
                    </w:txbxContent>
                  </v:textbox>
                </v:rect>
                <v:rect id="Rectangle 115" o:spid="_x0000_s1077" style="position:absolute;left:24014;top:19924;width:5790;height:3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obxMEA&#10;AADcAAAADwAAAGRycy9kb3ducmV2LnhtbERPTWuDQBC9F/oflin01qwWbIPJGkIgIL01VchxcCeu&#10;iTsr7lbNv+8WCr3N433OdrfYXkw0+s6xgnSVgCBunO64VVB9HV/WIHxA1tg7JgV38rArHh+2mGs3&#10;8ydNp9CKGMI+RwUmhCGX0jeGLPqVG4gjd3GjxRDh2Eo94hzDbS9fk+RNWuw4Nhgc6GCouZ2+rYKP&#10;gbDTZ3Mt9yar7+911VdNotTz07LfgAi0hH/xn7vUcX6awe8z8QJZ/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KG8TBAAAA3AAAAA8AAAAAAAAAAAAAAAAAmAIAAGRycy9kb3du&#10;cmV2LnhtbFBLBQYAAAAABAAEAPUAAACGAwAAAAA=&#10;" filled="f" strokecolor="red" strokeweight="1pt">
                  <v:textbox inset="1mm,0,1mm,0">
                    <w:txbxContent>
                      <w:p w:rsidR="00B0443C" w:rsidRDefault="00B0443C" w:rsidP="000C570C">
                        <w:pPr>
                          <w:pStyle w:val="NormalWeb"/>
                          <w:spacing w:before="0" w:beforeAutospacing="0" w:after="0" w:afterAutospacing="0" w:line="276" w:lineRule="auto"/>
                          <w:jc w:val="center"/>
                        </w:pPr>
                        <w:r>
                          <w:rPr>
                            <w:rFonts w:eastAsia="Calibri"/>
                            <w:color w:val="000000"/>
                            <w:sz w:val="22"/>
                            <w:szCs w:val="22"/>
                          </w:rPr>
                          <w:t xml:space="preserve">A5.CDS </w:t>
                        </w:r>
                      </w:p>
                    </w:txbxContent>
                  </v:textbox>
                </v:rect>
                <v:rect id="Rectangle 116" o:spid="_x0000_s1078" style="position:absolute;left:31390;top:19929;width:3848;height:38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iFs78A&#10;AADcAAAADwAAAGRycy9kb3ducmV2LnhtbERPTYvCMBC9L/gfwgje1lRBV6ppkYUF8aZbwePQjE21&#10;mZQmav33RhC8zeN9zirvbSNu1PnasYLJOAFBXDpdc6Wg+P/7XoDwAVlj45gUPMhDng2+Vphqd+cd&#10;3fahEjGEfYoKTAhtKqUvDVn0Y9cSR+7kOoshwq6SusN7DLeNnCbJXFqsOTYYbOnXUHnZX62CbUtY&#10;66M5b9Zmdnj8HIqmKBOlRsN+vQQRqA8f8du90XH+ZA6vZ+IFMn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WIWzvwAAANwAAAAPAAAAAAAAAAAAAAAAAJgCAABkcnMvZG93bnJl&#10;di54bWxQSwUGAAAAAAQABAD1AAAAhAMAAAAA&#10;" filled="f" strokecolor="red" strokeweight="1pt">
                  <v:textbox inset="1mm,0,1mm,0">
                    <w:txbxContent>
                      <w:p w:rsidR="00B0443C" w:rsidRDefault="00B0443C" w:rsidP="000C570C">
                        <w:pPr>
                          <w:pStyle w:val="NormalWeb"/>
                          <w:spacing w:before="0" w:beforeAutospacing="0" w:after="0" w:afterAutospacing="0" w:line="276" w:lineRule="auto"/>
                          <w:jc w:val="center"/>
                        </w:pPr>
                        <w:r>
                          <w:rPr>
                            <w:rFonts w:eastAsia="Calibri"/>
                            <w:color w:val="000000"/>
                            <w:sz w:val="22"/>
                            <w:szCs w:val="22"/>
                          </w:rPr>
                          <w:t xml:space="preserve">A5.S </w:t>
                        </w:r>
                      </w:p>
                    </w:txbxContent>
                  </v:textbox>
                </v:rect>
                <v:shape id="Elbow Connector 318" o:spid="_x0000_s1079" type="#_x0000_t34" style="position:absolute;left:19892;top:17182;width:2939;height:252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MkcMAAADcAAAADwAAAGRycy9kb3ducmV2LnhtbERP3WrCMBS+H/gO4Qi7GTOtgyLVKDpR&#10;vJCO6R7g2Jy1Zc1Jl2Rt9/bmYrDLj+9/tRlNK3pyvrGsIJ0lIIhLqxuuFHxcD88LED4ga2wtk4Jf&#10;8rBZTx5WmGs78Dv1l1CJGMI+RwV1CF0upS9rMuhntiOO3Kd1BkOErpLa4RDDTSvnSZJJgw3Hhho7&#10;eq2p/Lr8GAXN7rs4p2H/5Npb5Q5ZYdI3e1TqcTpulyACjeFf/Oc+aQUvaVwbz8Qj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ejJHDAAAA3AAAAA8AAAAAAAAAAAAA&#10;AAAAoQIAAGRycy9kb3ducmV2LnhtbFBLBQYAAAAABAAEAPkAAACRAwAAAAA=&#10;" strokecolor="red"/>
                <v:shape id="Elbow Connector 66" o:spid="_x0000_s1080" type="#_x0000_t33" style="position:absolute;left:25055;top:15070;width:1851;height:485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ukO8IAAADbAAAADwAAAGRycy9kb3ducmV2LnhtbESPQYvCMBSE74L/ITzBm6YKFqlGEVHW&#10;9aa7B709mmdb27yUJmvrv98IgsdhZr5hluvOVOJBjSssK5iMIxDEqdUFZwp+f/ajOQjnkTVWlknB&#10;kxysV/3eEhNtWz7R4+wzESDsElSQe18nUro0J4NubGvi4N1sY9AH2WRSN9gGuKnkNIpiabDgsJBj&#10;Tduc0vL8ZxTsv6/HWekpbqMNHXZPupT3r4tSw0G3WYDw1PlP+N0+aAVxDK8v4Qf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fukO8IAAADbAAAADwAAAAAAAAAAAAAA&#10;AAChAgAAZHJzL2Rvd25yZXYueG1sUEsFBgAAAAAEAAQA+QAAAJADAAAAAA==&#10;" strokecolor="red"/>
                <v:shape id="Elbow Connector 80" o:spid="_x0000_s1081" type="#_x0000_t33" style="position:absolute;left:25055;top:15070;width:8254;height:485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J/Lr4AAADbAAAADwAAAGRycy9kb3ducmV2LnhtbERPy6rCMBDdX/AfwgjurqmCItUoIoqP&#10;nY+F7oZmbGubSWmirX9vFoLLw3nPFq0pxYtql1tWMOhHIIgTq3NOFVzOm/8JCOeRNZaWScGbHCzm&#10;nb8Zxto2fKTXyacihLCLUUHmfRVL6ZKMDLq+rYgDd7e1QR9gnUpdYxPCTSmHUTSWBnMODRlWtMoo&#10;KU5Po2Czvx1GhadxEy1pt37TtXhsr0r1uu1yCsJT63/ir3unFUzC+vAl/AA5/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tUn8uvgAAANsAAAAPAAAAAAAAAAAAAAAAAKEC&#10;AABkcnMvZG93bnJldi54bWxQSwUGAAAAAAQABAD5AAAAjAMAAAAA&#10;" strokecolor="red"/>
                <v:shape id="Text Box 61" o:spid="_x0000_s1082" type="#_x0000_t202" style="position:absolute;left:20540;top:17429;width:1492;height:20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6/tcAA&#10;AADcAAAADwAAAGRycy9kb3ducmV2LnhtbERPy6rCMBDdX/Afwgjurmm7EOk1ioqiWx8Ll3Obsa02&#10;k9JEW/16Iwju5nCeM5l1phJ3alxpWUE8jEAQZ1aXnCs4Hta/YxDOI2usLJOCBzmYTXs/E0y1bXlH&#10;973PRQhhl6KCwvs6ldJlBRl0Q1sTB+5sG4M+wCaXusE2hJtKJlE0kgZLDg0F1rQsKLvub0ZB+1zt&#10;yuW/P8aX0fmZLLrTJr+elBr0u/kfCE+d/4o/7q0O85MY3s+EC+T0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56/tcAAAADcAAAADwAAAAAAAAAAAAAAAACYAgAAZHJzL2Rvd25y&#10;ZXYueG1sUEsFBgAAAAAEAAQA9QAAAIUDAAAAAA==&#10;" fillcolor="white [3201]" strokecolor="red" strokeweight=".5pt">
                  <v:textbox inset="1mm,0,1mm,0">
                    <w:txbxContent>
                      <w:p w:rsidR="00B0443C" w:rsidRDefault="00B0443C" w:rsidP="000C570C">
                        <w:pPr>
                          <w:pStyle w:val="NormalWeb"/>
                          <w:spacing w:before="0" w:beforeAutospacing="0" w:after="0" w:afterAutospacing="0" w:line="276" w:lineRule="auto"/>
                        </w:pPr>
                        <w:r>
                          <w:rPr>
                            <w:rFonts w:eastAsia="Calibri"/>
                            <w:sz w:val="22"/>
                            <w:szCs w:val="22"/>
                          </w:rPr>
                          <w:t>1</w:t>
                        </w:r>
                      </w:p>
                    </w:txbxContent>
                  </v:textbox>
                </v:shape>
                <v:shape id="Text Box 61" o:spid="_x0000_s1083" type="#_x0000_t202" style="position:absolute;left:26195;top:16852;width:1492;height:20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whwsAA&#10;AADcAAAADwAAAGRycy9kb3ducmV2LnhtbERPy6rCMBDdC/cfwlxwp6ldiFSjeOWKbn0suhybsa02&#10;k9JEW/16Iwju5nCeM1t0phJ3alxpWcFoGIEgzqwuOVdwPKwHExDOI2usLJOCBzlYzH96M0y0bXlH&#10;973PRQhhl6CCwvs6kdJlBRl0Q1sTB+5sG4M+wCaXusE2hJtKxlE0lgZLDg0F1rQqKLvub0ZB+/zf&#10;lauTP44u4/Mz/uvSTX5Nler/dsspCE+d/4o/7q0O8+MY3s+EC+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0whwsAAAADcAAAADwAAAAAAAAAAAAAAAACYAgAAZHJzL2Rvd25y&#10;ZXYueG1sUEsFBgAAAAAEAAQA9QAAAIUDAAAAAA==&#10;" fillcolor="white [3201]" strokecolor="red" strokeweight=".5pt">
                  <v:textbox inset="1mm,0,1mm,0">
                    <w:txbxContent>
                      <w:p w:rsidR="00B0443C" w:rsidRDefault="00B0443C" w:rsidP="000C570C">
                        <w:pPr>
                          <w:pStyle w:val="NormalWeb"/>
                          <w:spacing w:before="0" w:beforeAutospacing="0" w:after="0" w:afterAutospacing="0" w:line="276" w:lineRule="auto"/>
                        </w:pPr>
                        <w:r>
                          <w:rPr>
                            <w:rFonts w:eastAsia="Calibri"/>
                            <w:sz w:val="22"/>
                            <w:szCs w:val="22"/>
                          </w:rPr>
                          <w:t>2</w:t>
                        </w:r>
                      </w:p>
                    </w:txbxContent>
                  </v:textbox>
                </v:shape>
                <v:shape id="Text Box 61" o:spid="_x0000_s1084" type="#_x0000_t202" style="position:absolute;left:32704;top:16850;width:1492;height:20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CEWcAA&#10;AADcAAAADwAAAGRycy9kb3ducmV2LnhtbERPy6rCMBDdX/AfwgjurqkVRKpRVBTd+li4HJuxrTaT&#10;0kRb/fqbC4K7OZznTOetKcWTaldYVjDoRyCIU6sLzhScjpvfMQjnkTWWlknBixzMZ52fKSbaNryn&#10;58FnIoSwS1BB7n2VSOnSnAy6vq2IA3e1tUEfYJ1JXWMTwk0p4ygaSYMFh4YcK1rllN4PD6Ogea/3&#10;xeriT4Pb6PqOl+15m93PSvW67WICwlPrv+KPe6fD/HgI/8+EC+T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CEWcAAAADcAAAADwAAAAAAAAAAAAAAAACYAgAAZHJzL2Rvd25y&#10;ZXYueG1sUEsFBgAAAAAEAAQA9QAAAIUDAAAAAA==&#10;" fillcolor="white [3201]" strokecolor="red" strokeweight=".5pt">
                  <v:textbox inset="1mm,0,1mm,0">
                    <w:txbxContent>
                      <w:p w:rsidR="00B0443C" w:rsidRDefault="00B0443C" w:rsidP="000C570C">
                        <w:pPr>
                          <w:pStyle w:val="NormalWeb"/>
                          <w:spacing w:before="0" w:beforeAutospacing="0" w:after="0" w:afterAutospacing="0" w:line="276" w:lineRule="auto"/>
                        </w:pPr>
                        <w:r>
                          <w:rPr>
                            <w:rFonts w:eastAsia="Calibri"/>
                            <w:sz w:val="22"/>
                            <w:szCs w:val="22"/>
                          </w:rPr>
                          <w:t>3</w:t>
                        </w:r>
                      </w:p>
                    </w:txbxContent>
                  </v:textbox>
                </v:shape>
                <w10:anchorlock/>
              </v:group>
            </w:pict>
          </mc:Fallback>
        </mc:AlternateContent>
      </w:r>
    </w:p>
    <w:p w:rsidR="00AB72C7" w:rsidRDefault="008F302A" w:rsidP="006C0DA8">
      <w:pPr>
        <w:rPr>
          <w:rFonts w:eastAsiaTheme="minorEastAsia"/>
          <w:sz w:val="20"/>
          <w:szCs w:val="20"/>
        </w:rPr>
      </w:pPr>
      <w:r>
        <w:rPr>
          <w:rFonts w:eastAsiaTheme="minorEastAsia"/>
          <w:sz w:val="20"/>
          <w:szCs w:val="20"/>
        </w:rPr>
        <w:t>The modelled allocation of losses and principal and interest payments includes now securities (tranches) A5.J, A5.CDS, and A5.S</w:t>
      </w:r>
      <w:r w:rsidR="00AC6202" w:rsidRPr="00524C62">
        <w:rPr>
          <w:rFonts w:eastAsiaTheme="minorEastAsia"/>
          <w:sz w:val="20"/>
          <w:szCs w:val="20"/>
        </w:rPr>
        <w:t>.</w:t>
      </w:r>
      <w:r w:rsidR="00270F00">
        <w:rPr>
          <w:rFonts w:eastAsiaTheme="minorEastAsia"/>
          <w:sz w:val="20"/>
          <w:szCs w:val="20"/>
        </w:rPr>
        <w:t xml:space="preserve"> Note that by definition</w:t>
      </w:r>
    </w:p>
    <w:p w:rsidR="00270F00" w:rsidRDefault="00270F00" w:rsidP="006C0DA8">
      <w:pPr>
        <w:rPr>
          <w:rFonts w:eastAsiaTheme="minorEastAsia"/>
          <w:sz w:val="20"/>
          <w:szCs w:val="20"/>
        </w:rPr>
      </w:pPr>
      <m:oMathPara>
        <m:oMath>
          <m:r>
            <w:rPr>
              <w:rFonts w:ascii="Cambria Math" w:eastAsiaTheme="minorEastAsia" w:hAnsi="Cambria Math"/>
              <w:sz w:val="20"/>
              <w:szCs w:val="20"/>
            </w:rPr>
            <m:t xml:space="preserve">NPV L+NPV </m:t>
          </m:r>
          <m:sSup>
            <m:sSupPr>
              <m:ctrlPr>
                <w:rPr>
                  <w:rFonts w:ascii="Cambria Math" w:eastAsiaTheme="minorEastAsia" w:hAnsi="Cambria Math"/>
                  <w:i/>
                  <w:sz w:val="20"/>
                  <w:szCs w:val="20"/>
                </w:rPr>
              </m:ctrlPr>
            </m:sSupPr>
            <m:e>
              <m:r>
                <w:rPr>
                  <w:rFonts w:ascii="Cambria Math" w:eastAsiaTheme="minorEastAsia" w:hAnsi="Cambria Math"/>
                  <w:sz w:val="20"/>
                  <w:szCs w:val="20"/>
                </w:rPr>
                <m:t>I</m:t>
              </m:r>
            </m:e>
            <m:sup>
              <m:r>
                <w:rPr>
                  <w:rFonts w:ascii="Cambria Math" w:eastAsiaTheme="minorEastAsia" w:hAnsi="Cambria Math"/>
                  <w:sz w:val="20"/>
                  <w:szCs w:val="20"/>
                </w:rPr>
                <m:t>rf</m:t>
              </m:r>
            </m:sup>
          </m:sSup>
          <m:r>
            <w:rPr>
              <w:rFonts w:ascii="Cambria Math" w:eastAsiaTheme="minorEastAsia" w:hAnsi="Cambria Math"/>
              <w:sz w:val="20"/>
              <w:szCs w:val="20"/>
            </w:rPr>
            <m:t>+NPV P=Par</m:t>
          </m:r>
        </m:oMath>
      </m:oMathPara>
    </w:p>
    <w:p w:rsidR="00752CE3" w:rsidRDefault="00270F00" w:rsidP="000C570C">
      <w:r>
        <w:t>(The net present value of the security losses</w:t>
      </w:r>
      <w:r w:rsidR="00455FD6">
        <w:t xml:space="preserve"> </w:t>
      </w:r>
      <m:oMath>
        <m:r>
          <w:rPr>
            <w:rFonts w:ascii="Cambria Math" w:hAnsi="Cambria Math"/>
          </w:rPr>
          <m:t>L</m:t>
        </m:r>
      </m:oMath>
      <w:r>
        <w:t xml:space="preserve">, principal payments </w:t>
      </w:r>
      <m:oMath>
        <m:r>
          <w:rPr>
            <w:rFonts w:ascii="Cambria Math" w:hAnsi="Cambria Math"/>
          </w:rPr>
          <m:t>P</m:t>
        </m:r>
      </m:oMath>
      <w:r w:rsidR="00455FD6">
        <w:rPr>
          <w:rFonts w:eastAsiaTheme="minorEastAsia"/>
        </w:rPr>
        <w:t xml:space="preserve"> </w:t>
      </w:r>
      <w:r>
        <w:t>and risk free interest payments</w:t>
      </w:r>
      <w:r w:rsidR="00455FD6">
        <w:t xml:space="preserve"> </w:t>
      </w:r>
      <m:oMath>
        <m:sSup>
          <m:sSupPr>
            <m:ctrlPr>
              <w:rPr>
                <w:rFonts w:ascii="Cambria Math" w:eastAsiaTheme="minorEastAsia" w:hAnsi="Cambria Math"/>
                <w:i/>
                <w:sz w:val="20"/>
                <w:szCs w:val="20"/>
              </w:rPr>
            </m:ctrlPr>
          </m:sSupPr>
          <m:e>
            <m:r>
              <w:rPr>
                <w:rFonts w:ascii="Cambria Math" w:eastAsiaTheme="minorEastAsia" w:hAnsi="Cambria Math"/>
                <w:sz w:val="20"/>
                <w:szCs w:val="20"/>
              </w:rPr>
              <m:t>I</m:t>
            </m:r>
          </m:e>
          <m:sup>
            <m:r>
              <w:rPr>
                <w:rFonts w:ascii="Cambria Math" w:eastAsiaTheme="minorEastAsia" w:hAnsi="Cambria Math"/>
                <w:sz w:val="20"/>
                <w:szCs w:val="20"/>
              </w:rPr>
              <m:t>rf</m:t>
            </m:r>
          </m:sup>
        </m:sSup>
      </m:oMath>
      <w:r>
        <w:t xml:space="preserve"> equal to par value, which is by definition equal to the security nominal amount and accrued interest). </w:t>
      </w:r>
      <w:r w:rsidR="00455FD6">
        <w:t xml:space="preserve">The value of the security </w:t>
      </w:r>
      <m:oMath>
        <m:r>
          <w:rPr>
            <w:rFonts w:ascii="Cambria Math" w:hAnsi="Cambria Math"/>
          </w:rPr>
          <m:t>V</m:t>
        </m:r>
      </m:oMath>
      <w:r w:rsidR="00455FD6">
        <w:rPr>
          <w:rFonts w:eastAsiaTheme="minorEastAsia"/>
        </w:rPr>
        <w:t xml:space="preserve"> </w:t>
      </w:r>
      <w:r w:rsidR="00455FD6">
        <w:t>is equal to</w:t>
      </w:r>
    </w:p>
    <w:p w:rsidR="00455FD6" w:rsidRDefault="00455FD6" w:rsidP="000C570C">
      <m:oMathPara>
        <m:oMath>
          <m:r>
            <w:rPr>
              <w:rFonts w:ascii="Cambria Math" w:hAnsi="Cambria Math"/>
            </w:rPr>
            <m:t xml:space="preserve">NPV C+ </m:t>
          </m:r>
          <m:r>
            <w:rPr>
              <w:rFonts w:ascii="Cambria Math" w:eastAsiaTheme="minorEastAsia" w:hAnsi="Cambria Math"/>
              <w:sz w:val="20"/>
              <w:szCs w:val="20"/>
            </w:rPr>
            <m:t>NPV P=V</m:t>
          </m:r>
        </m:oMath>
      </m:oMathPara>
    </w:p>
    <w:p w:rsidR="00752CE3" w:rsidRDefault="00455FD6" w:rsidP="006C0DA8">
      <w:pPr>
        <w:rPr>
          <w:rFonts w:eastAsiaTheme="minorEastAsia"/>
        </w:rPr>
      </w:pPr>
      <w:r>
        <w:rPr>
          <w:rFonts w:eastAsiaTheme="minorEastAsia"/>
        </w:rPr>
        <w:t xml:space="preserve">where </w:t>
      </w:r>
      <m:oMath>
        <m:r>
          <w:rPr>
            <w:rFonts w:ascii="Cambria Math" w:eastAsiaTheme="minorEastAsia" w:hAnsi="Cambria Math"/>
          </w:rPr>
          <m:t>C</m:t>
        </m:r>
      </m:oMath>
      <w:r>
        <w:rPr>
          <w:rFonts w:eastAsiaTheme="minorEastAsia"/>
        </w:rPr>
        <w:t xml:space="preserve"> is security coupon payments. Therefore, </w:t>
      </w:r>
    </w:p>
    <w:p w:rsidR="00455FD6" w:rsidRPr="00455FD6" w:rsidRDefault="00455FD6" w:rsidP="006C0DA8">
      <w:pPr>
        <w:rPr>
          <w:rFonts w:eastAsiaTheme="minorEastAsia"/>
        </w:rPr>
      </w:pPr>
      <m:oMathPara>
        <m:oMath>
          <m:r>
            <w:rPr>
              <w:rFonts w:ascii="Cambria Math" w:eastAsiaTheme="minorEastAsia" w:hAnsi="Cambria Math"/>
            </w:rPr>
            <m:t xml:space="preserve">NPV L-NPV </m:t>
          </m:r>
          <m:d>
            <m:dPr>
              <m:ctrlPr>
                <w:rPr>
                  <w:rFonts w:ascii="Cambria Math" w:eastAsiaTheme="minorEastAsia" w:hAnsi="Cambria Math"/>
                  <w:i/>
                </w:rPr>
              </m:ctrlPr>
            </m:dPr>
            <m:e>
              <m:r>
                <w:rPr>
                  <w:rFonts w:ascii="Cambria Math" w:eastAsiaTheme="minorEastAsia" w:hAnsi="Cambria Math"/>
                </w:rPr>
                <m:t>C-</m:t>
              </m:r>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rf</m:t>
                  </m:r>
                </m:sup>
              </m:sSup>
            </m:e>
          </m:d>
          <m:r>
            <w:rPr>
              <w:rFonts w:ascii="Cambria Math" w:eastAsiaTheme="minorEastAsia" w:hAnsi="Cambria Math"/>
            </w:rPr>
            <m:t>=Par-V</m:t>
          </m:r>
        </m:oMath>
      </m:oMathPara>
    </w:p>
    <w:p w:rsidR="00455FD6" w:rsidRDefault="00455FD6" w:rsidP="006C0DA8">
      <w:pPr>
        <w:rPr>
          <w:rFonts w:eastAsiaTheme="minorEastAsia"/>
        </w:rPr>
      </w:pPr>
      <w:r>
        <w:rPr>
          <w:rFonts w:eastAsiaTheme="minorEastAsia"/>
        </w:rPr>
        <w:t xml:space="preserve">where </w:t>
      </w:r>
      <m:oMath>
        <m:r>
          <w:rPr>
            <w:rFonts w:ascii="Cambria Math" w:eastAsiaTheme="minorEastAsia" w:hAnsi="Cambria Math"/>
          </w:rPr>
          <m:t>C-</m:t>
        </m:r>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rf</m:t>
            </m:r>
          </m:sup>
        </m:sSup>
      </m:oMath>
      <w:r>
        <w:rPr>
          <w:rFonts w:eastAsiaTheme="minorEastAsia"/>
        </w:rPr>
        <w:t xml:space="preserve"> can be interpreted as the risk spread paid on the security. </w:t>
      </w:r>
      <w:r w:rsidR="000B4C28">
        <w:rPr>
          <w:rFonts w:eastAsiaTheme="minorEastAsia"/>
        </w:rPr>
        <w:t>Based on the above equation, if the CDS contract compensates all losses in the CDS tranche and receives the risk spread on the CDS tranche as a periodic payment, then the fixed price of the CDS contract is equal to the difference in par value and the contract price estimated using NPV valuation approach</w:t>
      </w:r>
      <w:r w:rsidR="00756560">
        <w:rPr>
          <w:rFonts w:eastAsiaTheme="minorEastAsia"/>
        </w:rPr>
        <w:t xml:space="preserve"> (this is the equation used by JP Morgan Chase for CDS contract valuation)</w:t>
      </w:r>
      <w:r w:rsidR="000B4C28">
        <w:rPr>
          <w:rFonts w:eastAsiaTheme="minorEastAsia"/>
        </w:rPr>
        <w:t>.</w:t>
      </w:r>
    </w:p>
    <w:p w:rsidR="00C74DE8" w:rsidRDefault="00C74DE8" w:rsidP="006C0DA8">
      <w:pPr>
        <w:rPr>
          <w:rFonts w:eastAsiaTheme="minorEastAsia"/>
        </w:rPr>
      </w:pPr>
      <w:r>
        <w:rPr>
          <w:rFonts w:eastAsiaTheme="minorEastAsia"/>
        </w:rPr>
        <w:t xml:space="preserve">In practice the periodic payment on a CDS contract </w:t>
      </w:r>
      <m:oMath>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CDS</m:t>
            </m:r>
          </m:sup>
        </m:sSup>
      </m:oMath>
      <w:r>
        <w:rPr>
          <w:rFonts w:eastAsiaTheme="minorEastAsia"/>
        </w:rPr>
        <w:t xml:space="preserve"> may be equal to zero, risk spread, coupon rate, or other selected value. A general equation for the CDS price based on NPV valuation is</w:t>
      </w:r>
    </w:p>
    <w:p w:rsidR="00C74DE8" w:rsidRDefault="005836E9" w:rsidP="006C0DA8">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CDS</m:t>
              </m:r>
            </m:sup>
          </m:sSup>
          <m:r>
            <w:rPr>
              <w:rFonts w:ascii="Cambria Math" w:eastAsiaTheme="minorEastAsia" w:hAnsi="Cambria Math"/>
            </w:rPr>
            <m:t xml:space="preserve">=NPV L-NPV </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CDS</m:t>
              </m:r>
            </m:sup>
          </m:sSup>
        </m:oMath>
      </m:oMathPara>
    </w:p>
    <w:p w:rsidR="00524C62" w:rsidRPr="00524C62" w:rsidRDefault="00144CC5" w:rsidP="00F271C9">
      <w:pPr>
        <w:pStyle w:val="Heading1"/>
      </w:pPr>
      <w:r>
        <w:t>CMO Cash Flow Model</w:t>
      </w:r>
    </w:p>
    <w:p w:rsidR="005F7A88" w:rsidRDefault="005F7A88" w:rsidP="00F271C9">
      <w:pPr>
        <w:pStyle w:val="Heading2"/>
      </w:pPr>
      <w:r>
        <w:t>Overview</w:t>
      </w:r>
    </w:p>
    <w:p w:rsidR="005F7A88" w:rsidRDefault="00667460" w:rsidP="005F7A88">
      <w:r>
        <w:t>T</w:t>
      </w:r>
      <w:r w:rsidR="005F7A88">
        <w:t>he cash flows are estimated using the following sequence of calculations</w:t>
      </w:r>
      <w:r w:rsidR="00A81659">
        <w:t xml:space="preserve"> in the CMO valuation application</w:t>
      </w:r>
      <w:r>
        <w:t xml:space="preserve"> (the cash fluctuations in the application are consistent with the cash flow data analyzed for different </w:t>
      </w:r>
      <w:r w:rsidR="003B2759">
        <w:t xml:space="preserve">actual </w:t>
      </w:r>
      <w:r>
        <w:t>CMO deals)</w:t>
      </w:r>
      <w:r w:rsidR="005F7A88">
        <w:t>.</w:t>
      </w:r>
    </w:p>
    <w:p w:rsidR="00064332" w:rsidRDefault="00064332" w:rsidP="005F7A88">
      <w:pPr>
        <w:pStyle w:val="ListParagraph"/>
        <w:numPr>
          <w:ilvl w:val="0"/>
          <w:numId w:val="14"/>
        </w:numPr>
      </w:pPr>
      <w:r>
        <w:lastRenderedPageBreak/>
        <w:t xml:space="preserve">Set beginning of period </w:t>
      </w:r>
      <m:oMath>
        <m:r>
          <w:rPr>
            <w:rFonts w:ascii="Cambria Math" w:hAnsi="Cambria Math"/>
          </w:rPr>
          <m:t>t+1</m:t>
        </m:r>
      </m:oMath>
      <w:r>
        <w:rPr>
          <w:rFonts w:eastAsiaTheme="minorEastAsia"/>
        </w:rPr>
        <w:t xml:space="preserve"> </w:t>
      </w:r>
      <w:r w:rsidR="006A195D">
        <w:rPr>
          <w:rFonts w:eastAsiaTheme="minorEastAsia"/>
        </w:rPr>
        <w:t xml:space="preserve">security </w:t>
      </w:r>
      <w:r>
        <w:rPr>
          <w:rFonts w:eastAsiaTheme="minorEastAsia"/>
        </w:rPr>
        <w:t xml:space="preserve">balances equal to the end of period </w:t>
      </w:r>
      <m:oMath>
        <m:r>
          <w:rPr>
            <w:rFonts w:ascii="Cambria Math" w:eastAsiaTheme="minorEastAsia" w:hAnsi="Cambria Math"/>
          </w:rPr>
          <m:t>t</m:t>
        </m:r>
      </m:oMath>
      <w:r>
        <w:rPr>
          <w:rFonts w:eastAsiaTheme="minorEastAsia"/>
        </w:rPr>
        <w:t xml:space="preserve"> </w:t>
      </w:r>
      <w:r w:rsidR="006A195D">
        <w:rPr>
          <w:rFonts w:eastAsiaTheme="minorEastAsia"/>
        </w:rPr>
        <w:t xml:space="preserve">security </w:t>
      </w:r>
      <w:r>
        <w:rPr>
          <w:rFonts w:eastAsiaTheme="minorEastAsia"/>
        </w:rPr>
        <w:t>balances;</w:t>
      </w:r>
    </w:p>
    <w:p w:rsidR="005F7A88" w:rsidRDefault="006A195D" w:rsidP="005F7A88">
      <w:pPr>
        <w:pStyle w:val="ListParagraph"/>
        <w:numPr>
          <w:ilvl w:val="0"/>
          <w:numId w:val="14"/>
        </w:numPr>
      </w:pPr>
      <w:r>
        <w:t>Calculate the</w:t>
      </w:r>
      <w:r w:rsidR="00E110FC">
        <w:t xml:space="preserve"> coupon payments based on the beginning of period security balances;</w:t>
      </w:r>
    </w:p>
    <w:p w:rsidR="00E110FC" w:rsidRDefault="00767ADE" w:rsidP="005F7A88">
      <w:pPr>
        <w:pStyle w:val="ListParagraph"/>
        <w:numPr>
          <w:ilvl w:val="0"/>
          <w:numId w:val="14"/>
        </w:numPr>
      </w:pPr>
      <w:r>
        <w:t>Calculate l</w:t>
      </w:r>
      <w:r w:rsidR="00E110FC">
        <w:t>osses in the balances assuming constant loss rate (estimated based on historical loss data)</w:t>
      </w:r>
      <w:r w:rsidR="00E409D7">
        <w:t xml:space="preserve">. </w:t>
      </w:r>
      <w:r>
        <w:t>Adjust b</w:t>
      </w:r>
      <w:r w:rsidR="00E409D7">
        <w:t>alances for the default losses;</w:t>
      </w:r>
    </w:p>
    <w:p w:rsidR="00E409D7" w:rsidRDefault="00767ADE" w:rsidP="005F7A88">
      <w:pPr>
        <w:pStyle w:val="ListParagraph"/>
        <w:numPr>
          <w:ilvl w:val="0"/>
          <w:numId w:val="14"/>
        </w:numPr>
      </w:pPr>
      <w:r>
        <w:t>Calculate m</w:t>
      </w:r>
      <w:r w:rsidR="00E409D7">
        <w:t xml:space="preserve">andatory amortization for the outstanding balances. </w:t>
      </w:r>
      <w:r>
        <w:t>Adjust b</w:t>
      </w:r>
      <w:r w:rsidR="00E409D7">
        <w:t>alances for mandatory amortization;</w:t>
      </w:r>
    </w:p>
    <w:p w:rsidR="00E409D7" w:rsidRPr="005F7A88" w:rsidRDefault="001311F4" w:rsidP="005F7A88">
      <w:pPr>
        <w:pStyle w:val="ListParagraph"/>
        <w:numPr>
          <w:ilvl w:val="0"/>
          <w:numId w:val="14"/>
        </w:numPr>
      </w:pPr>
      <w:r>
        <w:t xml:space="preserve">Calculate voluntary prepayment of the outstanding balances. Adjust balances for voluntary prepayment. The adjusted balances are </w:t>
      </w:r>
      <w:r>
        <w:rPr>
          <w:rFonts w:eastAsiaTheme="minorEastAsia"/>
        </w:rPr>
        <w:t xml:space="preserve">end of period </w:t>
      </w:r>
      <m:oMath>
        <m:r>
          <w:rPr>
            <w:rFonts w:ascii="Cambria Math" w:eastAsiaTheme="minorEastAsia" w:hAnsi="Cambria Math"/>
          </w:rPr>
          <m:t>t+1</m:t>
        </m:r>
      </m:oMath>
      <w:r>
        <w:rPr>
          <w:rFonts w:eastAsiaTheme="minorEastAsia"/>
        </w:rPr>
        <w:t xml:space="preserve"> balances.</w:t>
      </w:r>
    </w:p>
    <w:p w:rsidR="00DF4DFD" w:rsidRPr="00524C62" w:rsidRDefault="001C4E21" w:rsidP="00F271C9">
      <w:pPr>
        <w:pStyle w:val="Heading2"/>
      </w:pPr>
      <w:r>
        <w:t>Cash flow calculations</w:t>
      </w:r>
    </w:p>
    <w:p w:rsidR="003D7FE9" w:rsidRDefault="003D7FE9" w:rsidP="001C4E21">
      <w:pPr>
        <w:rPr>
          <w:sz w:val="20"/>
          <w:szCs w:val="20"/>
        </w:rPr>
      </w:pPr>
      <w:r>
        <w:rPr>
          <w:sz w:val="20"/>
          <w:szCs w:val="20"/>
        </w:rPr>
        <w:t>The cash flows in the CMO securities are calculated by following the steps below.</w:t>
      </w:r>
    </w:p>
    <w:p w:rsidR="004E1384" w:rsidRPr="003D7FE9" w:rsidRDefault="004E1384" w:rsidP="003D7FE9">
      <w:pPr>
        <w:pStyle w:val="ListParagraph"/>
        <w:numPr>
          <w:ilvl w:val="0"/>
          <w:numId w:val="15"/>
        </w:numPr>
        <w:rPr>
          <w:sz w:val="20"/>
          <w:szCs w:val="20"/>
        </w:rPr>
      </w:pPr>
      <w:r w:rsidRPr="003D7FE9">
        <w:rPr>
          <w:sz w:val="20"/>
          <w:szCs w:val="20"/>
        </w:rPr>
        <w:t xml:space="preserve">Coupon payments, losses in security balances, and voluntary prepayment in security balances are calculated directly as </w:t>
      </w:r>
    </w:p>
    <w:p w:rsidR="004E1384" w:rsidRPr="004E1384" w:rsidRDefault="005836E9" w:rsidP="001C4E21">
      <w:pPr>
        <w:rPr>
          <w:rFonts w:eastAsiaTheme="minorEastAsia"/>
          <w:sz w:val="20"/>
          <w:szCs w:val="20"/>
        </w:rPr>
      </w:pPr>
      <m:oMathPara>
        <m:oMath>
          <m:m>
            <m:mPr>
              <m:mcs>
                <m:mc>
                  <m:mcPr>
                    <m:count m:val="1"/>
                    <m:mcJc m:val="center"/>
                  </m:mcPr>
                </m:mc>
              </m:mcs>
              <m:ctrlPr>
                <w:rPr>
                  <w:rFonts w:ascii="Cambria Math" w:hAnsi="Cambria Math"/>
                  <w:i/>
                  <w:sz w:val="20"/>
                  <w:szCs w:val="20"/>
                </w:rPr>
              </m:ctrlPr>
            </m:mPr>
            <m:mr>
              <m:e>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t</m:t>
                    </m:r>
                  </m:sub>
                </m:sSub>
              </m:e>
            </m:mr>
            <m:mr>
              <m:e>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t</m:t>
                    </m:r>
                  </m:sub>
                </m:sSub>
                <m:r>
                  <w:rPr>
                    <w:rFonts w:ascii="Cambria Math" w:hAnsi="Cambria Math"/>
                    <w:sz w:val="20"/>
                    <w:szCs w:val="20"/>
                  </w:rPr>
                  <m:t>=α×</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t</m:t>
                    </m:r>
                  </m:sub>
                </m:sSub>
              </m:e>
            </m:mr>
            <m:mr>
              <m:e>
                <m:sSubSup>
                  <m:sSubSupPr>
                    <m:ctrlPr>
                      <w:rPr>
                        <w:rFonts w:ascii="Cambria Math" w:hAnsi="Cambria Math"/>
                        <w:i/>
                        <w:sz w:val="20"/>
                        <w:szCs w:val="20"/>
                      </w:rPr>
                    </m:ctrlPr>
                  </m:sSubSupPr>
                  <m:e>
                    <m:r>
                      <w:rPr>
                        <w:rFonts w:ascii="Cambria Math" w:hAnsi="Cambria Math"/>
                        <w:sz w:val="20"/>
                        <w:szCs w:val="20"/>
                      </w:rPr>
                      <m:t>X</m:t>
                    </m:r>
                  </m:e>
                  <m:sub>
                    <m:r>
                      <w:rPr>
                        <w:rFonts w:ascii="Cambria Math" w:hAnsi="Cambria Math"/>
                        <w:sz w:val="20"/>
                        <w:szCs w:val="20"/>
                      </w:rPr>
                      <m:t>t</m:t>
                    </m:r>
                  </m:sub>
                  <m:sup>
                    <m:r>
                      <w:rPr>
                        <w:rFonts w:ascii="Cambria Math" w:hAnsi="Cambria Math"/>
                        <w:sz w:val="20"/>
                        <w:szCs w:val="20"/>
                      </w:rPr>
                      <m:t>v</m:t>
                    </m:r>
                  </m:sup>
                </m:sSubSup>
                <m:r>
                  <w:rPr>
                    <w:rFonts w:ascii="Cambria Math" w:hAnsi="Cambria Math"/>
                    <w:sz w:val="20"/>
                    <w:szCs w:val="20"/>
                  </w:rPr>
                  <m:t>=γ×</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t</m:t>
                    </m:r>
                  </m:sub>
                </m:sSub>
              </m:e>
            </m:mr>
          </m:m>
        </m:oMath>
      </m:oMathPara>
    </w:p>
    <w:p w:rsidR="004E1384" w:rsidRDefault="004E1384" w:rsidP="003D7FE9">
      <w:pPr>
        <w:ind w:firstLine="720"/>
        <w:rPr>
          <w:sz w:val="20"/>
          <w:szCs w:val="20"/>
        </w:rPr>
      </w:pPr>
      <w:r>
        <w:rPr>
          <w:rFonts w:eastAsiaTheme="minorEastAsia"/>
          <w:sz w:val="20"/>
          <w:szCs w:val="20"/>
        </w:rPr>
        <w:t xml:space="preserve">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t</m:t>
            </m:r>
          </m:sub>
        </m:sSub>
      </m:oMath>
      <w:r>
        <w:rPr>
          <w:rFonts w:eastAsiaTheme="minorEastAsia"/>
          <w:sz w:val="20"/>
          <w:szCs w:val="20"/>
        </w:rPr>
        <w:t xml:space="preserve"> is coupon rate in period </w:t>
      </w:r>
      <m:oMath>
        <m:r>
          <w:rPr>
            <w:rFonts w:ascii="Cambria Math" w:eastAsiaTheme="minorEastAsia" w:hAnsi="Cambria Math"/>
            <w:sz w:val="20"/>
            <w:szCs w:val="20"/>
          </w:rPr>
          <m:t>t</m:t>
        </m:r>
      </m:oMath>
      <w:r>
        <w:rPr>
          <w:rFonts w:eastAsiaTheme="minorEastAsia"/>
          <w:sz w:val="20"/>
          <w:szCs w:val="20"/>
        </w:rPr>
        <w:t xml:space="preserve">, and </w:t>
      </w:r>
      <m:oMath>
        <m:r>
          <w:rPr>
            <w:rFonts w:ascii="Cambria Math" w:hAnsi="Cambria Math"/>
            <w:sz w:val="20"/>
            <w:szCs w:val="20"/>
          </w:rPr>
          <m:t>α</m:t>
        </m:r>
      </m:oMath>
      <w:r>
        <w:rPr>
          <w:rFonts w:eastAsiaTheme="minorEastAsia"/>
          <w:sz w:val="20"/>
          <w:szCs w:val="20"/>
        </w:rPr>
        <w:t xml:space="preserve"> and </w:t>
      </w:r>
      <m:oMath>
        <m:r>
          <w:rPr>
            <w:rFonts w:ascii="Cambria Math" w:hAnsi="Cambria Math"/>
            <w:sz w:val="20"/>
            <w:szCs w:val="20"/>
          </w:rPr>
          <m:t>γ</m:t>
        </m:r>
      </m:oMath>
      <w:r>
        <w:rPr>
          <w:rFonts w:eastAsiaTheme="minorEastAsia"/>
          <w:sz w:val="20"/>
          <w:szCs w:val="20"/>
        </w:rPr>
        <w:t xml:space="preserve"> are fixed loss and voluntary prepayment rates.</w:t>
      </w:r>
    </w:p>
    <w:p w:rsidR="00CA7BF0" w:rsidRDefault="00CA7BF0" w:rsidP="003D7FE9">
      <w:pPr>
        <w:pStyle w:val="ListParagraph"/>
        <w:numPr>
          <w:ilvl w:val="0"/>
          <w:numId w:val="15"/>
        </w:numPr>
        <w:rPr>
          <w:sz w:val="20"/>
          <w:szCs w:val="20"/>
        </w:rPr>
      </w:pPr>
      <w:r>
        <w:rPr>
          <w:sz w:val="20"/>
          <w:szCs w:val="20"/>
        </w:rPr>
        <w:t>For floating coupon payments calculated as Libor + spread, estimated forward Libor rates based on floating-to-fixed swap curve.</w:t>
      </w:r>
      <w:r>
        <w:rPr>
          <w:rStyle w:val="FootnoteReference"/>
          <w:sz w:val="20"/>
          <w:szCs w:val="20"/>
        </w:rPr>
        <w:footnoteReference w:id="1"/>
      </w:r>
    </w:p>
    <w:p w:rsidR="005E4578" w:rsidRPr="003D7FE9" w:rsidRDefault="00382B20" w:rsidP="003D7FE9">
      <w:pPr>
        <w:pStyle w:val="ListParagraph"/>
        <w:numPr>
          <w:ilvl w:val="0"/>
          <w:numId w:val="15"/>
        </w:numPr>
        <w:rPr>
          <w:sz w:val="20"/>
          <w:szCs w:val="20"/>
        </w:rPr>
      </w:pPr>
      <w:r w:rsidRPr="003D7FE9">
        <w:rPr>
          <w:sz w:val="20"/>
          <w:szCs w:val="20"/>
        </w:rPr>
        <w:t xml:space="preserve">Mandatory amortization amount </w:t>
      </w:r>
      <m:oMath>
        <m:sSubSup>
          <m:sSubSupPr>
            <m:ctrlPr>
              <w:rPr>
                <w:rFonts w:ascii="Cambria Math" w:hAnsi="Cambria Math"/>
                <w:i/>
                <w:sz w:val="20"/>
                <w:szCs w:val="20"/>
              </w:rPr>
            </m:ctrlPr>
          </m:sSubSupPr>
          <m:e>
            <m:r>
              <w:rPr>
                <w:rFonts w:ascii="Cambria Math" w:hAnsi="Cambria Math"/>
                <w:sz w:val="20"/>
                <w:szCs w:val="20"/>
              </w:rPr>
              <m:t>X</m:t>
            </m:r>
          </m:e>
          <m:sub>
            <m:r>
              <w:rPr>
                <w:rFonts w:ascii="Cambria Math" w:hAnsi="Cambria Math"/>
                <w:sz w:val="20"/>
                <w:szCs w:val="20"/>
              </w:rPr>
              <m:t>t</m:t>
            </m:r>
          </m:sub>
          <m:sup>
            <m:r>
              <w:rPr>
                <w:rFonts w:ascii="Cambria Math" w:hAnsi="Cambria Math"/>
                <w:sz w:val="20"/>
                <w:szCs w:val="20"/>
              </w:rPr>
              <m:t>m</m:t>
            </m:r>
          </m:sup>
        </m:sSubSup>
      </m:oMath>
      <w:r w:rsidRPr="003D7FE9">
        <w:rPr>
          <w:rFonts w:eastAsiaTheme="minorEastAsia"/>
          <w:sz w:val="20"/>
          <w:szCs w:val="20"/>
        </w:rPr>
        <w:t xml:space="preserve"> </w:t>
      </w:r>
      <w:r w:rsidRPr="003D7FE9">
        <w:rPr>
          <w:sz w:val="20"/>
          <w:szCs w:val="20"/>
        </w:rPr>
        <w:t>is estimated as follows.</w:t>
      </w:r>
      <w:r w:rsidR="00DF4DFD" w:rsidRPr="003D7FE9">
        <w:rPr>
          <w:sz w:val="20"/>
          <w:szCs w:val="20"/>
        </w:rPr>
        <w:t xml:space="preserve"> </w:t>
      </w:r>
    </w:p>
    <w:p w:rsidR="00382B20" w:rsidRPr="00744ACD" w:rsidRDefault="005836E9" w:rsidP="001C4E21">
      <w:pPr>
        <w:rPr>
          <w:rFonts w:eastAsiaTheme="minorEastAsia"/>
          <w:sz w:val="20"/>
          <w:szCs w:val="20"/>
        </w:rPr>
      </w:pPr>
      <m:oMathPara>
        <m:oMath>
          <m:sSubSup>
            <m:sSubSupPr>
              <m:ctrlPr>
                <w:rPr>
                  <w:rFonts w:ascii="Cambria Math" w:hAnsi="Cambria Math"/>
                  <w:i/>
                  <w:sz w:val="20"/>
                  <w:szCs w:val="20"/>
                </w:rPr>
              </m:ctrlPr>
            </m:sSubSupPr>
            <m:e>
              <m:r>
                <w:rPr>
                  <w:rFonts w:ascii="Cambria Math" w:hAnsi="Cambria Math"/>
                  <w:sz w:val="20"/>
                  <w:szCs w:val="20"/>
                </w:rPr>
                <m:t>X</m:t>
              </m:r>
            </m:e>
            <m:sub>
              <m:r>
                <w:rPr>
                  <w:rFonts w:ascii="Cambria Math" w:hAnsi="Cambria Math"/>
                  <w:sz w:val="20"/>
                  <w:szCs w:val="20"/>
                </w:rPr>
                <m:t>t</m:t>
              </m:r>
            </m:sub>
            <m:sup>
              <m:r>
                <w:rPr>
                  <w:rFonts w:ascii="Cambria Math" w:hAnsi="Cambria Math"/>
                  <w:sz w:val="20"/>
                  <w:szCs w:val="20"/>
                </w:rPr>
                <m:t>m</m:t>
              </m:r>
            </m:sup>
          </m:sSub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c×</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t</m:t>
                  </m:r>
                </m:sub>
              </m:sSub>
              <m:sSup>
                <m:sSupPr>
                  <m:ctrlPr>
                    <w:rPr>
                      <w:rFonts w:ascii="Cambria Math" w:hAnsi="Cambria Math"/>
                      <w:i/>
                      <w:sz w:val="20"/>
                      <w:szCs w:val="20"/>
                    </w:rPr>
                  </m:ctrlPr>
                </m:sSupPr>
                <m:e>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1+c</m:t>
                      </m:r>
                    </m:e>
                  </m:d>
                </m:e>
                <m:sup>
                  <m:r>
                    <w:rPr>
                      <w:rFonts w:ascii="Cambria Math" w:hAnsi="Cambria Math"/>
                      <w:sz w:val="20"/>
                      <w:szCs w:val="20"/>
                    </w:rPr>
                    <m:t>N</m:t>
                  </m:r>
                </m:sup>
              </m:sSup>
            </m:num>
            <m:den>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1+c</m:t>
                      </m:r>
                    </m:e>
                  </m:d>
                </m:e>
                <m:sup>
                  <m:r>
                    <w:rPr>
                      <w:rFonts w:ascii="Cambria Math" w:hAnsi="Cambria Math"/>
                      <w:sz w:val="20"/>
                      <w:szCs w:val="20"/>
                    </w:rPr>
                    <m:t>N</m:t>
                  </m:r>
                </m:sup>
              </m:sSup>
              <m:r>
                <w:rPr>
                  <w:rFonts w:ascii="Cambria Math" w:hAnsi="Cambria Math"/>
                  <w:sz w:val="20"/>
                  <w:szCs w:val="20"/>
                </w:rPr>
                <m:t>-1</m:t>
              </m:r>
            </m:den>
          </m:f>
          <m:r>
            <w:rPr>
              <w:rFonts w:ascii="Cambria Math" w:hAnsi="Cambria Math"/>
              <w:sz w:val="20"/>
              <w:szCs w:val="20"/>
            </w:rPr>
            <m:t>-c×</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0</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c×</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0</m:t>
                  </m:r>
                </m:sub>
              </m:sSub>
            </m:num>
            <m:den>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1+c</m:t>
                      </m:r>
                    </m:e>
                  </m:d>
                </m:e>
                <m:sup>
                  <m:r>
                    <w:rPr>
                      <w:rFonts w:ascii="Cambria Math" w:hAnsi="Cambria Math"/>
                      <w:sz w:val="20"/>
                      <w:szCs w:val="20"/>
                    </w:rPr>
                    <m:t>N</m:t>
                  </m:r>
                </m:sup>
              </m:sSup>
              <m:r>
                <w:rPr>
                  <w:rFonts w:ascii="Cambria Math" w:hAnsi="Cambria Math"/>
                  <w:sz w:val="20"/>
                  <w:szCs w:val="20"/>
                </w:rPr>
                <m:t>-1</m:t>
              </m:r>
            </m:den>
          </m:f>
        </m:oMath>
      </m:oMathPara>
    </w:p>
    <w:p w:rsidR="00744ACD" w:rsidRPr="00524C62" w:rsidRDefault="00744ACD" w:rsidP="003D7FE9">
      <w:pPr>
        <w:ind w:left="720"/>
        <w:rPr>
          <w:sz w:val="20"/>
          <w:szCs w:val="20"/>
        </w:rPr>
      </w:pPr>
      <w:r>
        <w:rPr>
          <w:rFonts w:eastAsiaTheme="minorEastAsia"/>
          <w:sz w:val="20"/>
          <w:szCs w:val="20"/>
        </w:rPr>
        <w:t xml:space="preserve">(The mandatory amortization is estimated based on the following principle: the payment in each period is fixed and equal to </w:t>
      </w:r>
      <m:oMath>
        <m:r>
          <w:rPr>
            <w:rFonts w:ascii="Cambria Math" w:eastAsiaTheme="minorEastAsia" w:hAnsi="Cambria Math"/>
            <w:sz w:val="20"/>
            <w:szCs w:val="20"/>
          </w:rPr>
          <m:t>X=</m:t>
        </m:r>
        <m:r>
          <w:rPr>
            <w:rFonts w:ascii="Cambria Math" w:hAnsi="Cambria Math"/>
            <w:sz w:val="20"/>
            <w:szCs w:val="20"/>
          </w:rPr>
          <m:t>c×</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t</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X</m:t>
            </m:r>
          </m:e>
          <m:sub>
            <m:r>
              <w:rPr>
                <w:rFonts w:ascii="Cambria Math" w:hAnsi="Cambria Math"/>
                <w:sz w:val="20"/>
                <w:szCs w:val="20"/>
              </w:rPr>
              <m:t>t</m:t>
            </m:r>
          </m:sub>
          <m:sup>
            <m:r>
              <w:rPr>
                <w:rFonts w:ascii="Cambria Math" w:hAnsi="Cambria Math"/>
                <w:sz w:val="20"/>
                <w:szCs w:val="20"/>
              </w:rPr>
              <m:t>m</m:t>
            </m:r>
          </m:sup>
        </m:sSubSup>
      </m:oMath>
      <w:r>
        <w:rPr>
          <w:rFonts w:eastAsiaTheme="minorEastAsia"/>
          <w:sz w:val="20"/>
          <w:szCs w:val="20"/>
        </w:rPr>
        <w:t>.</w:t>
      </w:r>
      <w:r w:rsidR="00CB1413">
        <w:rPr>
          <w:rFonts w:eastAsiaTheme="minorEastAsia"/>
          <w:sz w:val="20"/>
          <w:szCs w:val="20"/>
        </w:rPr>
        <w:t xml:space="preserve"> The next period balance (assuming to zero losses and voluntary prepayment) is equal to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t</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1+c</m:t>
            </m:r>
          </m:e>
        </m:d>
        <m:r>
          <w:rPr>
            <w:rFonts w:ascii="Cambria Math" w:hAnsi="Cambria Math"/>
            <w:sz w:val="20"/>
            <w:szCs w:val="20"/>
          </w:rPr>
          <m:t>-X</m:t>
        </m:r>
      </m:oMath>
      <w:r w:rsidR="00CB1413">
        <w:rPr>
          <w:rFonts w:eastAsiaTheme="minorEastAsia"/>
          <w:sz w:val="20"/>
          <w:szCs w:val="20"/>
        </w:rPr>
        <w:t xml:space="preserve">. </w:t>
      </w:r>
      <w:r w:rsidR="00D55CDA">
        <w:rPr>
          <w:rFonts w:eastAsiaTheme="minorEastAsia"/>
          <w:sz w:val="20"/>
          <w:szCs w:val="20"/>
        </w:rPr>
        <w:t xml:space="preserve">The last period balance is equal to </w:t>
      </w:r>
      <m:oMath>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t+n</m:t>
            </m:r>
          </m:sub>
        </m:sSub>
        <m:r>
          <w:rPr>
            <w:rFonts w:ascii="Cambria Math" w:eastAsiaTheme="minorEastAsia"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t</m:t>
            </m:r>
          </m:sub>
        </m:sSub>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1+c</m:t>
                </m:r>
              </m:e>
            </m:d>
          </m:e>
          <m:sup>
            <m:r>
              <w:rPr>
                <w:rFonts w:ascii="Cambria Math" w:hAnsi="Cambria Math"/>
                <w:sz w:val="20"/>
                <w:szCs w:val="20"/>
              </w:rPr>
              <m:t>n</m:t>
            </m:r>
          </m:sup>
        </m:sSup>
        <m:r>
          <w:rPr>
            <w:rFonts w:ascii="Cambria Math" w:hAnsi="Cambria Math"/>
            <w:sz w:val="20"/>
            <w:szCs w:val="20"/>
          </w:rPr>
          <m:t>-X</m:t>
        </m:r>
        <m:sSup>
          <m:sSupPr>
            <m:ctrlPr>
              <w:rPr>
                <w:rFonts w:ascii="Cambria Math" w:hAnsi="Cambria Math"/>
                <w:i/>
                <w:sz w:val="20"/>
                <w:szCs w:val="20"/>
              </w:rPr>
            </m:ctrlPr>
          </m:sSupPr>
          <m:e>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1+c</m:t>
                </m:r>
              </m:e>
            </m:d>
          </m:e>
          <m:sup>
            <m:r>
              <w:rPr>
                <w:rFonts w:ascii="Cambria Math" w:hAnsi="Cambria Math"/>
                <w:sz w:val="20"/>
                <w:szCs w:val="20"/>
              </w:rPr>
              <m:t>n-1</m:t>
            </m:r>
          </m:sup>
        </m:sSup>
        <m:r>
          <w:rPr>
            <w:rFonts w:ascii="Cambria Math" w:eastAsiaTheme="minorEastAsia" w:hAnsi="Cambria Math"/>
            <w:sz w:val="20"/>
            <w:szCs w:val="20"/>
          </w:rPr>
          <m:t>-…-X=</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t</m:t>
            </m:r>
          </m:sub>
        </m:sSub>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1+c</m:t>
                </m:r>
              </m:e>
            </m:d>
          </m:e>
          <m:sup>
            <m:r>
              <w:rPr>
                <w:rFonts w:ascii="Cambria Math" w:hAnsi="Cambria Math"/>
                <w:sz w:val="20"/>
                <w:szCs w:val="20"/>
              </w:rPr>
              <m:t>n</m:t>
            </m:r>
          </m:sup>
        </m:sSup>
        <m:r>
          <w:rPr>
            <w:rFonts w:ascii="Cambria Math" w:hAnsi="Cambria Math"/>
            <w:sz w:val="20"/>
            <w:szCs w:val="20"/>
          </w:rPr>
          <m:t>-X×</m:t>
        </m:r>
        <m:f>
          <m:fPr>
            <m:ctrlPr>
              <w:rPr>
                <w:rFonts w:ascii="Cambria Math" w:hAnsi="Cambria Math"/>
                <w:i/>
                <w:sz w:val="20"/>
                <w:szCs w:val="20"/>
              </w:rPr>
            </m:ctrlPr>
          </m:fPr>
          <m:num>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1+c</m:t>
                    </m:r>
                  </m:e>
                </m:d>
              </m:e>
              <m:sup>
                <m:r>
                  <w:rPr>
                    <w:rFonts w:ascii="Cambria Math" w:hAnsi="Cambria Math"/>
                    <w:sz w:val="20"/>
                    <w:szCs w:val="20"/>
                  </w:rPr>
                  <m:t>n</m:t>
                </m:r>
              </m:sup>
            </m:sSup>
            <m:r>
              <w:rPr>
                <w:rFonts w:ascii="Cambria Math" w:hAnsi="Cambria Math"/>
                <w:sz w:val="20"/>
                <w:szCs w:val="20"/>
              </w:rPr>
              <m:t>-1</m:t>
            </m:r>
          </m:num>
          <m:den>
            <m:r>
              <w:rPr>
                <w:rFonts w:ascii="Cambria Math" w:hAnsi="Cambria Math"/>
                <w:sz w:val="20"/>
                <w:szCs w:val="20"/>
              </w:rPr>
              <m:t>c</m:t>
            </m:r>
          </m:den>
        </m:f>
        <m:r>
          <w:rPr>
            <w:rFonts w:ascii="Cambria Math" w:hAnsi="Cambria Math"/>
            <w:sz w:val="20"/>
            <w:szCs w:val="20"/>
          </w:rPr>
          <m:t>=0</m:t>
        </m:r>
      </m:oMath>
      <w:r w:rsidR="00D55CDA">
        <w:rPr>
          <w:rFonts w:eastAsiaTheme="minorEastAsia"/>
          <w:sz w:val="20"/>
          <w:szCs w:val="20"/>
        </w:rPr>
        <w:t xml:space="preserve">. </w:t>
      </w:r>
      <w:r w:rsidR="00ED0174">
        <w:rPr>
          <w:rFonts w:eastAsiaTheme="minorEastAsia"/>
          <w:sz w:val="20"/>
          <w:szCs w:val="20"/>
        </w:rPr>
        <w:t xml:space="preserve">Therefore the fixed payment is equal to </w:t>
      </w:r>
      <m:oMath>
        <m:r>
          <w:rPr>
            <w:rFonts w:ascii="Cambria Math" w:eastAsiaTheme="minorEastAsia" w:hAnsi="Cambria Math"/>
            <w:sz w:val="20"/>
            <w:szCs w:val="20"/>
          </w:rPr>
          <m:t>X=</m:t>
        </m:r>
        <m:f>
          <m:fPr>
            <m:ctrlPr>
              <w:rPr>
                <w:rFonts w:ascii="Cambria Math" w:hAnsi="Cambria Math"/>
                <w:i/>
                <w:sz w:val="20"/>
                <w:szCs w:val="20"/>
              </w:rPr>
            </m:ctrlPr>
          </m:fPr>
          <m:num>
            <m:r>
              <w:rPr>
                <w:rFonts w:ascii="Cambria Math" w:hAnsi="Cambria Math"/>
                <w:sz w:val="20"/>
                <w:szCs w:val="20"/>
              </w:rPr>
              <m:t>c×</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t</m:t>
                </m:r>
              </m:sub>
            </m:sSub>
            <m:sSup>
              <m:sSupPr>
                <m:ctrlPr>
                  <w:rPr>
                    <w:rFonts w:ascii="Cambria Math" w:hAnsi="Cambria Math"/>
                    <w:i/>
                    <w:sz w:val="20"/>
                    <w:szCs w:val="20"/>
                  </w:rPr>
                </m:ctrlPr>
              </m:sSupPr>
              <m:e>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1+c</m:t>
                    </m:r>
                  </m:e>
                </m:d>
              </m:e>
              <m:sup>
                <m:r>
                  <w:rPr>
                    <w:rFonts w:ascii="Cambria Math" w:hAnsi="Cambria Math"/>
                    <w:sz w:val="20"/>
                    <w:szCs w:val="20"/>
                  </w:rPr>
                  <m:t>N</m:t>
                </m:r>
              </m:sup>
            </m:sSup>
          </m:num>
          <m:den>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1+c</m:t>
                    </m:r>
                  </m:e>
                </m:d>
              </m:e>
              <m:sup>
                <m:r>
                  <w:rPr>
                    <w:rFonts w:ascii="Cambria Math" w:hAnsi="Cambria Math"/>
                    <w:sz w:val="20"/>
                    <w:szCs w:val="20"/>
                  </w:rPr>
                  <m:t>N</m:t>
                </m:r>
              </m:sup>
            </m:sSup>
            <m:r>
              <w:rPr>
                <w:rFonts w:ascii="Cambria Math" w:hAnsi="Cambria Math"/>
                <w:sz w:val="20"/>
                <w:szCs w:val="20"/>
              </w:rPr>
              <m:t>-1</m:t>
            </m:r>
          </m:den>
        </m:f>
      </m:oMath>
      <w:r w:rsidR="00ED0174">
        <w:rPr>
          <w:rFonts w:eastAsiaTheme="minorEastAsia"/>
          <w:sz w:val="20"/>
          <w:szCs w:val="20"/>
        </w:rPr>
        <w:t xml:space="preserve"> and planned amortization is equal to the difference in fixed payment and coupon payment).</w:t>
      </w:r>
    </w:p>
    <w:p w:rsidR="00FB1C88" w:rsidRPr="00524C62" w:rsidRDefault="00FB1C88" w:rsidP="003D7FE9">
      <w:pPr>
        <w:ind w:firstLine="720"/>
        <w:rPr>
          <w:sz w:val="20"/>
          <w:szCs w:val="20"/>
        </w:rPr>
      </w:pPr>
      <w:r w:rsidRPr="00524C62">
        <w:rPr>
          <w:sz w:val="20"/>
          <w:szCs w:val="20"/>
        </w:rPr>
        <w:t xml:space="preserve">The </w:t>
      </w:r>
      <w:r w:rsidR="00273C5E">
        <w:rPr>
          <w:sz w:val="20"/>
          <w:szCs w:val="20"/>
        </w:rPr>
        <w:t xml:space="preserve">end of period </w:t>
      </w:r>
      <w:r w:rsidR="00687D2B" w:rsidRPr="00524C62">
        <w:rPr>
          <w:sz w:val="20"/>
          <w:szCs w:val="20"/>
        </w:rPr>
        <w:t xml:space="preserve">outstanding balances in each </w:t>
      </w:r>
      <w:r w:rsidR="00273C5E">
        <w:rPr>
          <w:sz w:val="20"/>
          <w:szCs w:val="20"/>
        </w:rPr>
        <w:t>security</w:t>
      </w:r>
      <w:r w:rsidR="00687D2B" w:rsidRPr="00524C62">
        <w:rPr>
          <w:sz w:val="20"/>
          <w:szCs w:val="20"/>
        </w:rPr>
        <w:t xml:space="preserve"> are estimated as</w:t>
      </w:r>
      <w:r w:rsidR="00273C5E">
        <w:rPr>
          <w:sz w:val="20"/>
          <w:szCs w:val="20"/>
        </w:rPr>
        <w:t xml:space="preserve"> follows</w:t>
      </w:r>
    </w:p>
    <w:p w:rsidR="00687D2B" w:rsidRPr="003D7FE9" w:rsidRDefault="005836E9" w:rsidP="00FB1C88">
      <w:pPr>
        <w:rPr>
          <w:rFonts w:eastAsiaTheme="minorEastAsia"/>
          <w:i/>
          <w:sz w:val="20"/>
          <w:szCs w:val="20"/>
        </w:rPr>
      </w:pPr>
      <m:oMathPara>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t</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X</m:t>
              </m:r>
            </m:e>
            <m:sub>
              <m:r>
                <w:rPr>
                  <w:rFonts w:ascii="Cambria Math" w:hAnsi="Cambria Math"/>
                  <w:sz w:val="20"/>
                  <w:szCs w:val="20"/>
                </w:rPr>
                <m:t>t</m:t>
              </m:r>
            </m:sub>
            <m:sup>
              <m:r>
                <w:rPr>
                  <w:rFonts w:ascii="Cambria Math" w:hAnsi="Cambria Math"/>
                  <w:sz w:val="20"/>
                  <w:szCs w:val="20"/>
                </w:rPr>
                <m:t>m</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X</m:t>
              </m:r>
            </m:e>
            <m:sub>
              <m:r>
                <w:rPr>
                  <w:rFonts w:ascii="Cambria Math" w:hAnsi="Cambria Math"/>
                  <w:sz w:val="20"/>
                  <w:szCs w:val="20"/>
                </w:rPr>
                <m:t>t</m:t>
              </m:r>
            </m:sub>
            <m:sup>
              <m:r>
                <w:rPr>
                  <w:rFonts w:ascii="Cambria Math" w:hAnsi="Cambria Math"/>
                  <w:sz w:val="20"/>
                  <w:szCs w:val="20"/>
                </w:rPr>
                <m:t>v</m:t>
              </m:r>
            </m:sup>
          </m:sSubSup>
        </m:oMath>
      </m:oMathPara>
    </w:p>
    <w:p w:rsidR="003D7FE9" w:rsidRPr="003D7FE9" w:rsidRDefault="003D7FE9" w:rsidP="003D7FE9">
      <w:pPr>
        <w:pStyle w:val="ListParagraph"/>
        <w:numPr>
          <w:ilvl w:val="0"/>
          <w:numId w:val="15"/>
        </w:numPr>
        <w:rPr>
          <w:rFonts w:eastAsiaTheme="minorEastAsia"/>
          <w:sz w:val="20"/>
          <w:szCs w:val="20"/>
        </w:rPr>
      </w:pPr>
      <w:r>
        <w:rPr>
          <w:rFonts w:eastAsiaTheme="minorEastAsia"/>
          <w:sz w:val="20"/>
          <w:szCs w:val="20"/>
        </w:rPr>
        <w:t xml:space="preserve">The cash flows are allocated </w:t>
      </w:r>
      <w:r w:rsidR="00B67A12">
        <w:rPr>
          <w:rFonts w:eastAsiaTheme="minorEastAsia"/>
          <w:sz w:val="20"/>
          <w:szCs w:val="20"/>
        </w:rPr>
        <w:t xml:space="preserve">starting </w:t>
      </w:r>
      <w:r>
        <w:rPr>
          <w:rFonts w:eastAsiaTheme="minorEastAsia"/>
          <w:sz w:val="20"/>
          <w:szCs w:val="20"/>
        </w:rPr>
        <w:t xml:space="preserve">from the CMO deal root </w:t>
      </w:r>
      <w:r w:rsidR="00575C0B">
        <w:rPr>
          <w:rFonts w:eastAsiaTheme="minorEastAsia"/>
          <w:sz w:val="20"/>
          <w:szCs w:val="20"/>
        </w:rPr>
        <w:t xml:space="preserve">security </w:t>
      </w:r>
      <w:r>
        <w:rPr>
          <w:rFonts w:eastAsiaTheme="minorEastAsia"/>
          <w:sz w:val="20"/>
          <w:szCs w:val="20"/>
        </w:rPr>
        <w:t xml:space="preserve">group into each child </w:t>
      </w:r>
      <w:r w:rsidR="00575C0B">
        <w:rPr>
          <w:rFonts w:eastAsiaTheme="minorEastAsia"/>
          <w:sz w:val="20"/>
          <w:szCs w:val="20"/>
        </w:rPr>
        <w:t xml:space="preserve">security </w:t>
      </w:r>
      <w:r>
        <w:rPr>
          <w:rFonts w:eastAsiaTheme="minorEastAsia"/>
          <w:sz w:val="20"/>
          <w:szCs w:val="20"/>
        </w:rPr>
        <w:t>group</w:t>
      </w:r>
      <w:r w:rsidR="00D77081">
        <w:rPr>
          <w:rFonts w:eastAsiaTheme="minorEastAsia"/>
          <w:sz w:val="20"/>
          <w:szCs w:val="20"/>
        </w:rPr>
        <w:t xml:space="preserve"> </w:t>
      </w:r>
      <w:r w:rsidR="00B67A12">
        <w:rPr>
          <w:rFonts w:eastAsiaTheme="minorEastAsia"/>
          <w:sz w:val="20"/>
          <w:szCs w:val="20"/>
        </w:rPr>
        <w:t xml:space="preserve">and then sequentially from each parent group into each child group, </w:t>
      </w:r>
      <w:r w:rsidR="00D77081">
        <w:rPr>
          <w:rFonts w:eastAsiaTheme="minorEastAsia"/>
          <w:sz w:val="20"/>
          <w:szCs w:val="20"/>
        </w:rPr>
        <w:t xml:space="preserve">based on the </w:t>
      </w:r>
      <w:r w:rsidR="00435115">
        <w:rPr>
          <w:rFonts w:eastAsiaTheme="minorEastAsia"/>
          <w:sz w:val="20"/>
          <w:szCs w:val="20"/>
        </w:rPr>
        <w:t xml:space="preserve">loss and principal repayment </w:t>
      </w:r>
      <w:r w:rsidR="00D77081">
        <w:rPr>
          <w:rFonts w:eastAsiaTheme="minorEastAsia"/>
          <w:sz w:val="20"/>
          <w:szCs w:val="20"/>
        </w:rPr>
        <w:t xml:space="preserve">allocation rules set in </w:t>
      </w:r>
      <w:r w:rsidR="00C46BF9">
        <w:rPr>
          <w:rFonts w:eastAsiaTheme="minorEastAsia"/>
          <w:sz w:val="20"/>
          <w:szCs w:val="20"/>
        </w:rPr>
        <w:t>each</w:t>
      </w:r>
      <w:r w:rsidR="00D77081">
        <w:rPr>
          <w:rFonts w:eastAsiaTheme="minorEastAsia"/>
          <w:sz w:val="20"/>
          <w:szCs w:val="20"/>
        </w:rPr>
        <w:t xml:space="preserve"> parent group.</w:t>
      </w:r>
      <w:r>
        <w:rPr>
          <w:rFonts w:eastAsiaTheme="minorEastAsia"/>
          <w:sz w:val="20"/>
          <w:szCs w:val="20"/>
        </w:rPr>
        <w:t xml:space="preserve"> </w:t>
      </w:r>
    </w:p>
    <w:p w:rsidR="007164F7" w:rsidRPr="00AF27AD" w:rsidRDefault="007164F7" w:rsidP="00FB1C88">
      <w:pPr>
        <w:rPr>
          <w:sz w:val="20"/>
          <w:szCs w:val="20"/>
        </w:rPr>
      </w:pPr>
    </w:p>
    <w:p w:rsidR="004776DD" w:rsidRPr="00524C62" w:rsidRDefault="00D51DEA" w:rsidP="00F271C9">
      <w:pPr>
        <w:pStyle w:val="Heading1"/>
      </w:pPr>
      <w:r>
        <w:lastRenderedPageBreak/>
        <w:t xml:space="preserve">Parameter </w:t>
      </w:r>
      <w:r w:rsidR="004776DD" w:rsidRPr="00524C62">
        <w:t xml:space="preserve">Estimation </w:t>
      </w:r>
    </w:p>
    <w:p w:rsidR="00895159" w:rsidRDefault="00895159" w:rsidP="006C0DA8">
      <w:pPr>
        <w:rPr>
          <w:sz w:val="20"/>
          <w:szCs w:val="20"/>
        </w:rPr>
      </w:pPr>
      <w:r>
        <w:rPr>
          <w:sz w:val="20"/>
          <w:szCs w:val="20"/>
        </w:rPr>
        <w:t>Loss and principal prepayment rates are estimated using total balances, total losses, total repaid principal</w:t>
      </w:r>
      <w:r w:rsidR="00883CB1">
        <w:rPr>
          <w:sz w:val="20"/>
          <w:szCs w:val="20"/>
        </w:rPr>
        <w:t>,</w:t>
      </w:r>
      <w:r>
        <w:rPr>
          <w:sz w:val="20"/>
          <w:szCs w:val="20"/>
        </w:rPr>
        <w:t xml:space="preserve"> and weighted-average effective coupon rate in the CMO deal. (The weighted-average effective coupon rate is applied to estimate the mandatory total principal amortization amount).</w:t>
      </w:r>
    </w:p>
    <w:p w:rsidR="00895159" w:rsidRDefault="00895159" w:rsidP="00895159">
      <w:pPr>
        <w:pStyle w:val="Heading2"/>
      </w:pPr>
      <w:r>
        <w:t>Loss Rate Estimation</w:t>
      </w:r>
    </w:p>
    <w:p w:rsidR="00DC4915" w:rsidRDefault="00DC4915" w:rsidP="006261D5">
      <w:pPr>
        <w:pStyle w:val="Heading3"/>
      </w:pPr>
      <w:r>
        <w:t>Distribution of Losses</w:t>
      </w:r>
    </w:p>
    <w:p w:rsidR="004776DD" w:rsidRDefault="00D33ED8" w:rsidP="006C0DA8">
      <w:pPr>
        <w:rPr>
          <w:sz w:val="20"/>
          <w:szCs w:val="20"/>
        </w:rPr>
      </w:pPr>
      <w:r>
        <w:rPr>
          <w:sz w:val="20"/>
          <w:szCs w:val="20"/>
        </w:rPr>
        <w:t>Distribution of loss rates is derived based on the following simple model</w:t>
      </w:r>
      <w:r w:rsidR="00C06E1E" w:rsidRPr="00524C62">
        <w:rPr>
          <w:sz w:val="20"/>
          <w:szCs w:val="20"/>
        </w:rPr>
        <w:t>.</w:t>
      </w:r>
    </w:p>
    <w:p w:rsidR="00D33ED8" w:rsidRPr="00524C62" w:rsidRDefault="00D33ED8" w:rsidP="00D33ED8">
      <w:r w:rsidRPr="00524C62">
        <w:t xml:space="preserve">Suppose that there are </w:t>
      </w:r>
      <m:oMath>
        <m:r>
          <w:rPr>
            <w:rFonts w:ascii="Cambria Math" w:hAnsi="Cambria Math"/>
          </w:rPr>
          <m:t>n</m:t>
        </m:r>
      </m:oMath>
      <w:r w:rsidRPr="00524C62">
        <w:t xml:space="preserve"> mortgages in total and the default on each mortgage is independent across mortgages and across periods. All mortgages are assumed to be equal in size (the size of the average mortgage is denoted as </w:t>
      </w:r>
      <m:oMath>
        <m:r>
          <w:rPr>
            <w:rFonts w:ascii="Cambria Math" w:hAnsi="Cambria Math"/>
          </w:rPr>
          <m:t>M</m:t>
        </m:r>
      </m:oMath>
      <w:r w:rsidRPr="00524C62">
        <w:t xml:space="preserve">). In the event of default, fraction </w:t>
      </w:r>
      <m:oMath>
        <m:r>
          <w:rPr>
            <w:rFonts w:ascii="Cambria Math" w:hAnsi="Cambria Math"/>
          </w:rPr>
          <m:t>R&lt;1</m:t>
        </m:r>
      </m:oMath>
      <w:r w:rsidRPr="00524C62">
        <w:t xml:space="preserve"> of the mortgage value is recovered from the sale of the house.</w:t>
      </w:r>
      <w:r w:rsidR="00CC0BED">
        <w:rPr>
          <w:rStyle w:val="FootnoteReference"/>
        </w:rPr>
        <w:footnoteReference w:id="2"/>
      </w:r>
      <w:r w:rsidRPr="00524C62">
        <w:t xml:space="preserve"> The loss on a specific mortgage, </w:t>
      </w:r>
      <m:oMath>
        <m:sSub>
          <m:sSubPr>
            <m:ctrlPr>
              <w:rPr>
                <w:rFonts w:ascii="Cambria Math" w:hAnsi="Cambria Math"/>
                <w:i/>
              </w:rPr>
            </m:ctrlPr>
          </m:sSubPr>
          <m:e>
            <m:r>
              <w:rPr>
                <w:rFonts w:ascii="Cambria Math" w:hAnsi="Cambria Math"/>
              </w:rPr>
              <m:t>L</m:t>
            </m:r>
          </m:e>
          <m:sub>
            <m:r>
              <w:rPr>
                <w:rFonts w:ascii="Cambria Math" w:hAnsi="Cambria Math"/>
              </w:rPr>
              <m:t>it</m:t>
            </m:r>
          </m:sub>
        </m:sSub>
      </m:oMath>
      <w:r w:rsidRPr="00524C62">
        <w:t xml:space="preserve">, is a random variable distributed as </w:t>
      </w:r>
    </w:p>
    <w:p w:rsidR="00D33ED8" w:rsidRPr="00524C62" w:rsidRDefault="005836E9" w:rsidP="00D33ED8">
      <w:pPr>
        <w:rPr>
          <w:rFonts w:eastAsiaTheme="minorEastAsia"/>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L</m:t>
              </m:r>
            </m:e>
            <m:sub>
              <m:r>
                <w:rPr>
                  <w:rFonts w:ascii="Cambria Math" w:eastAsiaTheme="minorEastAsia" w:hAnsi="Cambria Math"/>
                  <w:sz w:val="20"/>
                  <w:szCs w:val="20"/>
                </w:rPr>
                <m:t>it</m:t>
              </m:r>
            </m:sub>
          </m:sSub>
          <m:r>
            <w:rPr>
              <w:rFonts w:ascii="Cambria Math" w:eastAsiaTheme="minorEastAsia" w:hAnsi="Cambria Math"/>
              <w:sz w:val="20"/>
              <w:szCs w:val="20"/>
            </w:rPr>
            <m:t>=</m:t>
          </m:r>
          <m:d>
            <m:dPr>
              <m:begChr m:val="{"/>
              <m:endChr m:val=""/>
              <m:ctrlPr>
                <w:rPr>
                  <w:rFonts w:ascii="Cambria Math" w:eastAsiaTheme="minorEastAsia" w:hAnsi="Cambria Math"/>
                  <w:i/>
                  <w:sz w:val="20"/>
                  <w:szCs w:val="20"/>
                </w:rPr>
              </m:ctrlPr>
            </m:dPr>
            <m:e>
              <m:m>
                <m:mPr>
                  <m:mcs>
                    <m:mc>
                      <m:mcPr>
                        <m:count m:val="2"/>
                        <m:mcJc m:val="center"/>
                      </m:mcPr>
                    </m:mc>
                  </m:mcs>
                  <m:ctrlPr>
                    <w:rPr>
                      <w:rFonts w:ascii="Cambria Math" w:eastAsiaTheme="minorEastAsia" w:hAnsi="Cambria Math"/>
                      <w:i/>
                      <w:sz w:val="20"/>
                      <w:szCs w:val="20"/>
                    </w:rPr>
                  </m:ctrlPr>
                </m:mPr>
                <m:mr>
                  <m:e>
                    <m:d>
                      <m:dPr>
                        <m:ctrlPr>
                          <w:rPr>
                            <w:rFonts w:ascii="Cambria Math" w:eastAsiaTheme="minorEastAsia" w:hAnsi="Cambria Math"/>
                            <w:i/>
                            <w:sz w:val="20"/>
                            <w:szCs w:val="20"/>
                          </w:rPr>
                        </m:ctrlPr>
                      </m:dPr>
                      <m:e>
                        <m:r>
                          <w:rPr>
                            <w:rFonts w:ascii="Cambria Math" w:eastAsiaTheme="minorEastAsia" w:hAnsi="Cambria Math"/>
                            <w:sz w:val="20"/>
                            <w:szCs w:val="20"/>
                          </w:rPr>
                          <m:t>1-R</m:t>
                        </m:r>
                      </m:e>
                    </m:d>
                    <m:r>
                      <w:rPr>
                        <w:rFonts w:ascii="Cambria Math" w:eastAsiaTheme="minorEastAsia" w:hAnsi="Cambria Math"/>
                        <w:sz w:val="20"/>
                        <w:szCs w:val="20"/>
                      </w:rPr>
                      <m:t>M,</m:t>
                    </m:r>
                  </m:e>
                  <m:e>
                    <m:r>
                      <w:rPr>
                        <w:rFonts w:ascii="Cambria Math" w:eastAsiaTheme="minorEastAsia" w:hAnsi="Cambria Math"/>
                        <w:sz w:val="20"/>
                        <w:szCs w:val="20"/>
                      </w:rPr>
                      <m:t>p</m:t>
                    </m:r>
                  </m:e>
                </m:mr>
                <m:mr>
                  <m:e>
                    <m:r>
                      <w:rPr>
                        <w:rFonts w:ascii="Cambria Math" w:eastAsiaTheme="minorEastAsia" w:hAnsi="Cambria Math"/>
                        <w:sz w:val="20"/>
                        <w:szCs w:val="20"/>
                      </w:rPr>
                      <m:t>0,</m:t>
                    </m:r>
                  </m:e>
                  <m:e>
                    <m:r>
                      <w:rPr>
                        <w:rFonts w:ascii="Cambria Math" w:eastAsiaTheme="minorEastAsia" w:hAnsi="Cambria Math"/>
                        <w:sz w:val="20"/>
                        <w:szCs w:val="20"/>
                      </w:rPr>
                      <m:t>1-p</m:t>
                    </m:r>
                  </m:e>
                </m:mr>
              </m:m>
            </m:e>
          </m:d>
        </m:oMath>
      </m:oMathPara>
    </w:p>
    <w:p w:rsidR="00CC0BED" w:rsidRDefault="00D33ED8" w:rsidP="00D33ED8">
      <w:pPr>
        <w:rPr>
          <w:rFonts w:eastAsiaTheme="minorEastAsia"/>
          <w:sz w:val="20"/>
          <w:szCs w:val="20"/>
        </w:rPr>
      </w:pPr>
      <w:r w:rsidRPr="00524C62">
        <w:rPr>
          <w:rFonts w:eastAsiaTheme="minorEastAsia"/>
          <w:sz w:val="20"/>
          <w:szCs w:val="20"/>
        </w:rPr>
        <w:t xml:space="preserve">where </w:t>
      </w:r>
      <m:oMath>
        <m:r>
          <w:rPr>
            <w:rFonts w:ascii="Cambria Math" w:eastAsiaTheme="minorEastAsia" w:hAnsi="Cambria Math"/>
            <w:sz w:val="20"/>
            <w:szCs w:val="20"/>
          </w:rPr>
          <m:t>p</m:t>
        </m:r>
      </m:oMath>
      <w:r w:rsidRPr="00524C62">
        <w:rPr>
          <w:rFonts w:eastAsiaTheme="minorEastAsia"/>
          <w:sz w:val="20"/>
          <w:szCs w:val="20"/>
        </w:rPr>
        <w:t xml:space="preserve"> is the probability to default in a given period on a specific mortgage. For a fixed probability </w:t>
      </w:r>
      <m:oMath>
        <m:r>
          <w:rPr>
            <w:rFonts w:ascii="Cambria Math" w:eastAsiaTheme="minorEastAsia" w:hAnsi="Cambria Math"/>
            <w:sz w:val="20"/>
            <w:szCs w:val="20"/>
          </w:rPr>
          <m:t>p</m:t>
        </m:r>
      </m:oMath>
      <w:r w:rsidRPr="00524C62">
        <w:rPr>
          <w:rFonts w:eastAsiaTheme="minorEastAsia"/>
          <w:sz w:val="20"/>
          <w:szCs w:val="20"/>
        </w:rPr>
        <w:t xml:space="preserve"> and large enough number of mortgages the total losses converge to the Normal distribution. However, in practice the probability of default </w:t>
      </w:r>
      <m:oMath>
        <m:r>
          <w:rPr>
            <w:rFonts w:ascii="Cambria Math" w:eastAsiaTheme="minorEastAsia" w:hAnsi="Cambria Math"/>
            <w:sz w:val="20"/>
            <w:szCs w:val="20"/>
          </w:rPr>
          <m:t>p</m:t>
        </m:r>
      </m:oMath>
      <w:r w:rsidRPr="00524C62">
        <w:rPr>
          <w:rFonts w:eastAsiaTheme="minorEastAsia"/>
          <w:sz w:val="20"/>
          <w:szCs w:val="20"/>
        </w:rPr>
        <w:t xml:space="preserve"> is small. Therefore, we assume that as </w:t>
      </w:r>
      <m:oMath>
        <m:r>
          <w:rPr>
            <w:rFonts w:ascii="Cambria Math" w:eastAsiaTheme="minorEastAsia" w:hAnsi="Cambria Math"/>
            <w:sz w:val="20"/>
            <w:szCs w:val="20"/>
          </w:rPr>
          <m:t>n</m:t>
        </m:r>
      </m:oMath>
      <w:r w:rsidRPr="00524C62">
        <w:rPr>
          <w:rFonts w:eastAsiaTheme="minorEastAsia"/>
          <w:sz w:val="20"/>
          <w:szCs w:val="20"/>
        </w:rPr>
        <w:t xml:space="preserve"> increases, the factor </w:t>
      </w:r>
      <m:oMath>
        <m:r>
          <w:rPr>
            <w:rFonts w:ascii="Cambria Math" w:eastAsiaTheme="minorEastAsia" w:hAnsi="Cambria Math"/>
            <w:sz w:val="20"/>
            <w:szCs w:val="20"/>
          </w:rPr>
          <m:t>α=p×n</m:t>
        </m:r>
      </m:oMath>
      <w:r w:rsidRPr="00524C62">
        <w:rPr>
          <w:rFonts w:eastAsiaTheme="minorEastAsia"/>
          <w:sz w:val="20"/>
          <w:szCs w:val="20"/>
        </w:rPr>
        <w:t xml:space="preserve"> stays constant so that the distribution of total loss converges to the Poisson distribution with parameter </w:t>
      </w:r>
      <m:oMath>
        <m:r>
          <w:rPr>
            <w:rFonts w:ascii="Cambria Math" w:eastAsiaTheme="minorEastAsia" w:hAnsi="Cambria Math"/>
            <w:sz w:val="20"/>
            <w:szCs w:val="20"/>
          </w:rPr>
          <m:t>a</m:t>
        </m:r>
      </m:oMath>
      <w:r w:rsidRPr="00524C62">
        <w:rPr>
          <w:rFonts w:eastAsiaTheme="minorEastAsia"/>
          <w:sz w:val="20"/>
          <w:szCs w:val="20"/>
        </w:rPr>
        <w:t xml:space="preserve">. </w:t>
      </w:r>
      <w:r w:rsidR="00CC0BED">
        <w:rPr>
          <w:rFonts w:eastAsiaTheme="minorEastAsia"/>
          <w:sz w:val="20"/>
          <w:szCs w:val="20"/>
        </w:rPr>
        <w:t>The Poisson distribution is described by the following formula.</w:t>
      </w:r>
    </w:p>
    <w:p w:rsidR="00CC0BED" w:rsidRDefault="005836E9" w:rsidP="00D33ED8">
      <w:pPr>
        <w:rPr>
          <w:rFonts w:eastAsiaTheme="minorEastAsia"/>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k</m:t>
              </m:r>
            </m:sub>
          </m:sSub>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e</m:t>
              </m:r>
            </m:e>
            <m:sup>
              <m:r>
                <w:rPr>
                  <w:rFonts w:ascii="Cambria Math" w:eastAsiaTheme="minorEastAsia" w:hAnsi="Cambria Math"/>
                  <w:sz w:val="20"/>
                  <w:szCs w:val="20"/>
                </w:rPr>
                <m:t>-α</m:t>
              </m:r>
            </m:sup>
          </m:sSup>
          <m:f>
            <m:fPr>
              <m:ctrlPr>
                <w:rPr>
                  <w:rFonts w:ascii="Cambria Math" w:eastAsiaTheme="minorEastAsia" w:hAnsi="Cambria Math"/>
                  <w:i/>
                  <w:sz w:val="20"/>
                  <w:szCs w:val="20"/>
                </w:rPr>
              </m:ctrlPr>
            </m:fPr>
            <m:num>
              <m:sSup>
                <m:sSupPr>
                  <m:ctrlPr>
                    <w:rPr>
                      <w:rFonts w:ascii="Cambria Math" w:eastAsiaTheme="minorEastAsia" w:hAnsi="Cambria Math"/>
                      <w:i/>
                      <w:sz w:val="20"/>
                      <w:szCs w:val="20"/>
                    </w:rPr>
                  </m:ctrlPr>
                </m:sSupPr>
                <m:e>
                  <m:r>
                    <w:rPr>
                      <w:rFonts w:ascii="Cambria Math" w:eastAsiaTheme="minorEastAsia" w:hAnsi="Cambria Math"/>
                      <w:sz w:val="20"/>
                      <w:szCs w:val="20"/>
                    </w:rPr>
                    <m:t>α</m:t>
                  </m:r>
                </m:e>
                <m:sup>
                  <m:r>
                    <w:rPr>
                      <w:rFonts w:ascii="Cambria Math" w:eastAsiaTheme="minorEastAsia" w:hAnsi="Cambria Math"/>
                      <w:sz w:val="20"/>
                      <w:szCs w:val="20"/>
                    </w:rPr>
                    <m:t>k</m:t>
                  </m:r>
                </m:sup>
              </m:sSup>
            </m:num>
            <m:den>
              <m:r>
                <w:rPr>
                  <w:rFonts w:ascii="Cambria Math" w:eastAsiaTheme="minorEastAsia" w:hAnsi="Cambria Math"/>
                  <w:sz w:val="20"/>
                  <w:szCs w:val="20"/>
                </w:rPr>
                <m:t>k!</m:t>
              </m:r>
            </m:den>
          </m:f>
        </m:oMath>
      </m:oMathPara>
    </w:p>
    <w:p w:rsidR="00D33ED8" w:rsidRPr="00524C62" w:rsidRDefault="00D33ED8" w:rsidP="00D33ED8">
      <w:pPr>
        <w:rPr>
          <w:rFonts w:eastAsiaTheme="minorEastAsia"/>
          <w:sz w:val="20"/>
          <w:szCs w:val="20"/>
        </w:rPr>
      </w:pPr>
      <w:r w:rsidRPr="00524C62">
        <w:rPr>
          <w:rFonts w:eastAsiaTheme="minorEastAsia"/>
          <w:sz w:val="20"/>
          <w:szCs w:val="20"/>
        </w:rPr>
        <w:t xml:space="preserve">In addition, if </w:t>
      </w:r>
      <m:oMath>
        <m:r>
          <w:rPr>
            <w:rFonts w:ascii="Cambria Math" w:eastAsiaTheme="minorEastAsia" w:hAnsi="Cambria Math"/>
            <w:sz w:val="20"/>
            <w:szCs w:val="20"/>
          </w:rPr>
          <m:t>R</m:t>
        </m:r>
      </m:oMath>
      <w:r w:rsidRPr="00524C62">
        <w:rPr>
          <w:rFonts w:eastAsiaTheme="minorEastAsia"/>
          <w:sz w:val="20"/>
          <w:szCs w:val="20"/>
        </w:rPr>
        <w:t xml:space="preserve"> is interpreted as the probability of recovery conditional on default, then the distribution </w:t>
      </w:r>
      <m:oMath>
        <m:sSub>
          <m:sSubPr>
            <m:ctrlPr>
              <w:rPr>
                <w:rFonts w:ascii="Cambria Math" w:eastAsiaTheme="minorEastAsia" w:hAnsi="Cambria Math"/>
                <w:i/>
                <w:sz w:val="20"/>
                <w:szCs w:val="20"/>
              </w:rPr>
            </m:ctrlPr>
          </m:sSubPr>
          <m:e>
            <m:r>
              <w:rPr>
                <w:rFonts w:ascii="Cambria Math" w:eastAsiaTheme="minorEastAsia" w:hAnsi="Cambria Math"/>
                <w:sz w:val="20"/>
                <w:szCs w:val="20"/>
              </w:rPr>
              <m:t>L</m:t>
            </m:r>
          </m:e>
          <m:sub>
            <m:r>
              <w:rPr>
                <w:rFonts w:ascii="Cambria Math" w:eastAsiaTheme="minorEastAsia" w:hAnsi="Cambria Math"/>
                <w:sz w:val="20"/>
                <w:szCs w:val="20"/>
              </w:rPr>
              <m:t>it</m:t>
            </m:r>
          </m:sub>
        </m:sSub>
      </m:oMath>
      <w:r w:rsidRPr="00524C62">
        <w:rPr>
          <w:rFonts w:eastAsiaTheme="minorEastAsia"/>
          <w:sz w:val="20"/>
          <w:szCs w:val="20"/>
        </w:rPr>
        <w:t xml:space="preserve"> can be equivalently presented as </w:t>
      </w:r>
    </w:p>
    <w:p w:rsidR="00D33ED8" w:rsidRPr="00524C62" w:rsidRDefault="005836E9" w:rsidP="00D33ED8">
      <w:pPr>
        <w:rPr>
          <w:rFonts w:eastAsiaTheme="minorEastAsia"/>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L</m:t>
              </m:r>
            </m:e>
            <m:sub>
              <m:r>
                <w:rPr>
                  <w:rFonts w:ascii="Cambria Math" w:eastAsiaTheme="minorEastAsia" w:hAnsi="Cambria Math"/>
                  <w:sz w:val="20"/>
                  <w:szCs w:val="20"/>
                </w:rPr>
                <m:t>it</m:t>
              </m:r>
            </m:sub>
          </m:sSub>
          <m:r>
            <w:rPr>
              <w:rFonts w:ascii="Cambria Math" w:eastAsiaTheme="minorEastAsia" w:hAnsi="Cambria Math"/>
              <w:sz w:val="20"/>
              <w:szCs w:val="20"/>
            </w:rPr>
            <m:t>=</m:t>
          </m:r>
          <m:d>
            <m:dPr>
              <m:begChr m:val="{"/>
              <m:endChr m:val=""/>
              <m:ctrlPr>
                <w:rPr>
                  <w:rFonts w:ascii="Cambria Math" w:eastAsiaTheme="minorEastAsia" w:hAnsi="Cambria Math"/>
                  <w:i/>
                  <w:sz w:val="20"/>
                  <w:szCs w:val="20"/>
                </w:rPr>
              </m:ctrlPr>
            </m:dPr>
            <m:e>
              <m:m>
                <m:mPr>
                  <m:mcs>
                    <m:mc>
                      <m:mcPr>
                        <m:count m:val="2"/>
                        <m:mcJc m:val="center"/>
                      </m:mcPr>
                    </m:mc>
                  </m:mcs>
                  <m:ctrlPr>
                    <w:rPr>
                      <w:rFonts w:ascii="Cambria Math" w:eastAsiaTheme="minorEastAsia" w:hAnsi="Cambria Math"/>
                      <w:i/>
                      <w:sz w:val="20"/>
                      <w:szCs w:val="20"/>
                    </w:rPr>
                  </m:ctrlPr>
                </m:mPr>
                <m:mr>
                  <m:e>
                    <m:r>
                      <w:rPr>
                        <w:rFonts w:ascii="Cambria Math" w:eastAsiaTheme="minorEastAsia" w:hAnsi="Cambria Math"/>
                        <w:sz w:val="20"/>
                        <w:szCs w:val="20"/>
                      </w:rPr>
                      <m:t>M,</m:t>
                    </m:r>
                  </m:e>
                  <m:e>
                    <m:r>
                      <w:rPr>
                        <w:rFonts w:ascii="Cambria Math" w:eastAsiaTheme="minorEastAsia" w:hAnsi="Cambria Math"/>
                        <w:sz w:val="20"/>
                        <w:szCs w:val="20"/>
                      </w:rPr>
                      <m:t>p</m:t>
                    </m:r>
                    <m:d>
                      <m:dPr>
                        <m:ctrlPr>
                          <w:rPr>
                            <w:rFonts w:ascii="Cambria Math" w:eastAsiaTheme="minorEastAsia" w:hAnsi="Cambria Math"/>
                            <w:i/>
                            <w:sz w:val="20"/>
                            <w:szCs w:val="20"/>
                          </w:rPr>
                        </m:ctrlPr>
                      </m:dPr>
                      <m:e>
                        <m:r>
                          <w:rPr>
                            <w:rFonts w:ascii="Cambria Math" w:eastAsiaTheme="minorEastAsia" w:hAnsi="Cambria Math"/>
                            <w:sz w:val="20"/>
                            <w:szCs w:val="20"/>
                          </w:rPr>
                          <m:t>1-R</m:t>
                        </m:r>
                      </m:e>
                    </m:d>
                  </m:e>
                </m:mr>
                <m:mr>
                  <m:e>
                    <m:r>
                      <w:rPr>
                        <w:rFonts w:ascii="Cambria Math" w:eastAsiaTheme="minorEastAsia" w:hAnsi="Cambria Math"/>
                        <w:sz w:val="20"/>
                        <w:szCs w:val="20"/>
                      </w:rPr>
                      <m:t>0,</m:t>
                    </m:r>
                  </m:e>
                  <m:e>
                    <m:r>
                      <w:rPr>
                        <w:rFonts w:ascii="Cambria Math" w:eastAsiaTheme="minorEastAsia" w:hAnsi="Cambria Math"/>
                        <w:sz w:val="20"/>
                        <w:szCs w:val="20"/>
                      </w:rPr>
                      <m:t>1-p</m:t>
                    </m:r>
                    <m:d>
                      <m:dPr>
                        <m:ctrlPr>
                          <w:rPr>
                            <w:rFonts w:ascii="Cambria Math" w:eastAsiaTheme="minorEastAsia" w:hAnsi="Cambria Math"/>
                            <w:i/>
                            <w:sz w:val="20"/>
                            <w:szCs w:val="20"/>
                          </w:rPr>
                        </m:ctrlPr>
                      </m:dPr>
                      <m:e>
                        <m:r>
                          <w:rPr>
                            <w:rFonts w:ascii="Cambria Math" w:eastAsiaTheme="minorEastAsia" w:hAnsi="Cambria Math"/>
                            <w:sz w:val="20"/>
                            <w:szCs w:val="20"/>
                          </w:rPr>
                          <m:t>1-R</m:t>
                        </m:r>
                      </m:e>
                    </m:d>
                  </m:e>
                </m:mr>
              </m:m>
            </m:e>
          </m:d>
        </m:oMath>
      </m:oMathPara>
    </w:p>
    <w:p w:rsidR="00D33ED8" w:rsidRPr="00524C62" w:rsidRDefault="00D33ED8" w:rsidP="00D33ED8">
      <w:pPr>
        <w:rPr>
          <w:rFonts w:eastAsiaTheme="minorEastAsia"/>
          <w:sz w:val="20"/>
          <w:szCs w:val="20"/>
        </w:rPr>
      </w:pPr>
      <w:r w:rsidRPr="00524C62">
        <w:rPr>
          <w:rFonts w:eastAsiaTheme="minorEastAsia"/>
          <w:sz w:val="20"/>
          <w:szCs w:val="20"/>
        </w:rPr>
        <w:t xml:space="preserve">so that the total losses are distributes as Poisson distribution with recovery-adjusted frequency parameter </w:t>
      </w:r>
      <m:oMath>
        <m:acc>
          <m:accPr>
            <m:chr m:val="̃"/>
            <m:ctrlPr>
              <w:rPr>
                <w:rFonts w:ascii="Cambria Math" w:eastAsiaTheme="minorEastAsia" w:hAnsi="Cambria Math"/>
                <w:i/>
                <w:sz w:val="20"/>
                <w:szCs w:val="20"/>
              </w:rPr>
            </m:ctrlPr>
          </m:accPr>
          <m:e>
            <m:r>
              <w:rPr>
                <w:rFonts w:ascii="Cambria Math" w:eastAsiaTheme="minorEastAsia" w:hAnsi="Cambria Math"/>
                <w:sz w:val="20"/>
                <w:szCs w:val="20"/>
              </w:rPr>
              <m:t>α</m:t>
            </m:r>
          </m:e>
        </m:acc>
        <m:r>
          <w:rPr>
            <w:rFonts w:ascii="Cambria Math" w:eastAsiaTheme="minorEastAsia" w:hAnsi="Cambria Math"/>
            <w:sz w:val="20"/>
            <w:szCs w:val="20"/>
          </w:rPr>
          <m:t>=p</m:t>
        </m:r>
        <m:d>
          <m:dPr>
            <m:ctrlPr>
              <w:rPr>
                <w:rFonts w:ascii="Cambria Math" w:eastAsiaTheme="minorEastAsia" w:hAnsi="Cambria Math"/>
                <w:i/>
                <w:sz w:val="20"/>
                <w:szCs w:val="20"/>
              </w:rPr>
            </m:ctrlPr>
          </m:dPr>
          <m:e>
            <m:r>
              <w:rPr>
                <w:rFonts w:ascii="Cambria Math" w:eastAsiaTheme="minorEastAsia" w:hAnsi="Cambria Math"/>
                <w:sz w:val="20"/>
                <w:szCs w:val="20"/>
              </w:rPr>
              <m:t>1-R</m:t>
            </m:r>
          </m:e>
        </m:d>
        <m:r>
          <w:rPr>
            <w:rFonts w:ascii="Cambria Math" w:eastAsiaTheme="minorEastAsia" w:hAnsi="Cambria Math"/>
            <w:sz w:val="20"/>
            <w:szCs w:val="20"/>
          </w:rPr>
          <m:t>×n</m:t>
        </m:r>
      </m:oMath>
      <w:r w:rsidRPr="00524C62">
        <w:rPr>
          <w:rFonts w:eastAsiaTheme="minorEastAsia"/>
          <w:sz w:val="20"/>
          <w:szCs w:val="20"/>
        </w:rPr>
        <w:t xml:space="preserve">. </w:t>
      </w:r>
      <w:r w:rsidR="00512494">
        <w:rPr>
          <w:rFonts w:eastAsiaTheme="minorEastAsia"/>
          <w:sz w:val="20"/>
          <w:szCs w:val="20"/>
        </w:rPr>
        <w:t xml:space="preserve">The advantage of the loss rate representation with the </w:t>
      </w:r>
      <w:r w:rsidR="00512494" w:rsidRPr="00524C62">
        <w:rPr>
          <w:rFonts w:eastAsiaTheme="minorEastAsia"/>
          <w:sz w:val="20"/>
          <w:szCs w:val="20"/>
        </w:rPr>
        <w:t xml:space="preserve">recovery-adjusted frequency parameter </w:t>
      </w:r>
      <m:oMath>
        <m:acc>
          <m:accPr>
            <m:chr m:val="̃"/>
            <m:ctrlPr>
              <w:rPr>
                <w:rFonts w:ascii="Cambria Math" w:eastAsiaTheme="minorEastAsia" w:hAnsi="Cambria Math"/>
                <w:i/>
                <w:sz w:val="20"/>
                <w:szCs w:val="20"/>
              </w:rPr>
            </m:ctrlPr>
          </m:accPr>
          <m:e>
            <m:r>
              <w:rPr>
                <w:rFonts w:ascii="Cambria Math" w:eastAsiaTheme="minorEastAsia" w:hAnsi="Cambria Math"/>
                <w:sz w:val="20"/>
                <w:szCs w:val="20"/>
              </w:rPr>
              <m:t>α</m:t>
            </m:r>
          </m:e>
        </m:acc>
      </m:oMath>
      <w:r w:rsidR="00512494">
        <w:rPr>
          <w:rFonts w:eastAsiaTheme="minorEastAsia"/>
          <w:sz w:val="20"/>
          <w:szCs w:val="20"/>
        </w:rPr>
        <w:t xml:space="preserve"> of Poisson distribution is that it does not require to estimate parameter </w:t>
      </w:r>
      <m:oMath>
        <m:r>
          <w:rPr>
            <w:rFonts w:ascii="Cambria Math" w:eastAsiaTheme="minorEastAsia" w:hAnsi="Cambria Math"/>
            <w:sz w:val="20"/>
            <w:szCs w:val="20"/>
          </w:rPr>
          <m:t>R</m:t>
        </m:r>
      </m:oMath>
      <w:r w:rsidR="00512494">
        <w:rPr>
          <w:rFonts w:eastAsiaTheme="minorEastAsia"/>
          <w:sz w:val="20"/>
          <w:szCs w:val="20"/>
        </w:rPr>
        <w:t xml:space="preserve"> but instead </w:t>
      </w:r>
      <w:r w:rsidR="00E5295A">
        <w:rPr>
          <w:rFonts w:eastAsiaTheme="minorEastAsia"/>
          <w:sz w:val="20"/>
          <w:szCs w:val="20"/>
        </w:rPr>
        <w:t xml:space="preserve">blends parameter </w:t>
      </w:r>
      <m:oMath>
        <m:r>
          <w:rPr>
            <w:rFonts w:ascii="Cambria Math" w:eastAsiaTheme="minorEastAsia" w:hAnsi="Cambria Math"/>
            <w:sz w:val="20"/>
            <w:szCs w:val="20"/>
          </w:rPr>
          <m:t>R</m:t>
        </m:r>
      </m:oMath>
      <w:r w:rsidR="00512494">
        <w:rPr>
          <w:rFonts w:eastAsiaTheme="minorEastAsia"/>
          <w:sz w:val="20"/>
          <w:szCs w:val="20"/>
        </w:rPr>
        <w:t xml:space="preserve"> in</w:t>
      </w:r>
      <w:r w:rsidR="00E5295A">
        <w:rPr>
          <w:rFonts w:eastAsiaTheme="minorEastAsia"/>
          <w:sz w:val="20"/>
          <w:szCs w:val="20"/>
        </w:rPr>
        <w:t>to</w:t>
      </w:r>
      <w:r w:rsidR="00512494">
        <w:rPr>
          <w:rFonts w:eastAsiaTheme="minorEastAsia"/>
          <w:sz w:val="20"/>
          <w:szCs w:val="20"/>
        </w:rPr>
        <w:t xml:space="preserve"> the </w:t>
      </w:r>
      <w:r w:rsidR="00512494" w:rsidRPr="00524C62">
        <w:rPr>
          <w:rFonts w:eastAsiaTheme="minorEastAsia"/>
          <w:sz w:val="20"/>
          <w:szCs w:val="20"/>
        </w:rPr>
        <w:t xml:space="preserve">parameter </w:t>
      </w:r>
      <m:oMath>
        <m:acc>
          <m:accPr>
            <m:chr m:val="̃"/>
            <m:ctrlPr>
              <w:rPr>
                <w:rFonts w:ascii="Cambria Math" w:eastAsiaTheme="minorEastAsia" w:hAnsi="Cambria Math"/>
                <w:i/>
                <w:sz w:val="20"/>
                <w:szCs w:val="20"/>
              </w:rPr>
            </m:ctrlPr>
          </m:accPr>
          <m:e>
            <m:r>
              <w:rPr>
                <w:rFonts w:ascii="Cambria Math" w:eastAsiaTheme="minorEastAsia" w:hAnsi="Cambria Math"/>
                <w:sz w:val="20"/>
                <w:szCs w:val="20"/>
              </w:rPr>
              <m:t>α</m:t>
            </m:r>
          </m:e>
        </m:acc>
      </m:oMath>
      <w:r w:rsidR="00512494">
        <w:rPr>
          <w:rFonts w:eastAsiaTheme="minorEastAsia"/>
          <w:sz w:val="20"/>
          <w:szCs w:val="20"/>
        </w:rPr>
        <w:t xml:space="preserve"> of the Poisson distribution. </w:t>
      </w:r>
      <w:r w:rsidRPr="00524C62">
        <w:rPr>
          <w:rFonts w:eastAsiaTheme="minorEastAsia"/>
          <w:sz w:val="20"/>
          <w:szCs w:val="20"/>
        </w:rPr>
        <w:t xml:space="preserve">The total losses in period </w:t>
      </w:r>
      <m:oMath>
        <m:r>
          <w:rPr>
            <w:rFonts w:ascii="Cambria Math" w:eastAsiaTheme="minorEastAsia" w:hAnsi="Cambria Math"/>
            <w:sz w:val="20"/>
            <w:szCs w:val="20"/>
          </w:rPr>
          <m:t>t</m:t>
        </m:r>
      </m:oMath>
      <w:r w:rsidRPr="00524C62">
        <w:rPr>
          <w:rFonts w:eastAsiaTheme="minorEastAsia"/>
          <w:sz w:val="20"/>
          <w:szCs w:val="20"/>
        </w:rPr>
        <w:t xml:space="preserve"> are estimated as</w:t>
      </w:r>
    </w:p>
    <w:p w:rsidR="00D33ED8" w:rsidRPr="00524C62" w:rsidRDefault="005836E9" w:rsidP="00D33ED8">
      <w:pPr>
        <w:rPr>
          <w:rFonts w:eastAsiaTheme="minorEastAsia"/>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L</m:t>
              </m:r>
            </m:e>
            <m:sub>
              <m:r>
                <w:rPr>
                  <w:rFonts w:ascii="Cambria Math" w:eastAsiaTheme="minorEastAsia" w:hAnsi="Cambria Math"/>
                  <w:sz w:val="20"/>
                  <w:szCs w:val="20"/>
                </w:rPr>
                <m:t>t</m:t>
              </m:r>
            </m:sub>
          </m:sSub>
          <m:r>
            <w:rPr>
              <w:rFonts w:ascii="Cambria Math" w:eastAsiaTheme="minorEastAsia" w:hAnsi="Cambria Math"/>
              <w:sz w:val="20"/>
              <w:szCs w:val="20"/>
            </w:rPr>
            <m:t>=</m:t>
          </m:r>
          <m:nary>
            <m:naryPr>
              <m:chr m:val="∑"/>
              <m:limLoc m:val="undOvr"/>
              <m:supHide m:val="1"/>
              <m:ctrlPr>
                <w:rPr>
                  <w:rFonts w:ascii="Cambria Math" w:eastAsiaTheme="minorEastAsia" w:hAnsi="Cambria Math"/>
                  <w:i/>
                  <w:sz w:val="20"/>
                  <w:szCs w:val="20"/>
                </w:rPr>
              </m:ctrlPr>
            </m:naryPr>
            <m:sub>
              <m:r>
                <w:rPr>
                  <w:rFonts w:ascii="Cambria Math" w:eastAsiaTheme="minorEastAsia" w:hAnsi="Cambria Math"/>
                  <w:sz w:val="20"/>
                  <w:szCs w:val="20"/>
                </w:rPr>
                <m:t>i</m:t>
              </m:r>
            </m:sub>
            <m:sup/>
            <m:e>
              <m:sSub>
                <m:sSubPr>
                  <m:ctrlPr>
                    <w:rPr>
                      <w:rFonts w:ascii="Cambria Math" w:eastAsiaTheme="minorEastAsia" w:hAnsi="Cambria Math"/>
                      <w:i/>
                      <w:sz w:val="20"/>
                      <w:szCs w:val="20"/>
                    </w:rPr>
                  </m:ctrlPr>
                </m:sSubPr>
                <m:e>
                  <m:r>
                    <w:rPr>
                      <w:rFonts w:ascii="Cambria Math" w:eastAsiaTheme="minorEastAsia" w:hAnsi="Cambria Math"/>
                      <w:sz w:val="20"/>
                      <w:szCs w:val="20"/>
                    </w:rPr>
                    <m:t>L</m:t>
                  </m:r>
                </m:e>
                <m:sub>
                  <m:r>
                    <w:rPr>
                      <w:rFonts w:ascii="Cambria Math" w:eastAsiaTheme="minorEastAsia" w:hAnsi="Cambria Math"/>
                      <w:sz w:val="20"/>
                      <w:szCs w:val="20"/>
                    </w:rPr>
                    <m:t>it</m:t>
                  </m:r>
                </m:sub>
              </m:sSub>
              <m:r>
                <w:rPr>
                  <w:rFonts w:ascii="Cambria Math" w:eastAsiaTheme="minorEastAsia" w:hAnsi="Cambria Math"/>
                  <w:sz w:val="20"/>
                  <w:szCs w:val="20"/>
                </w:rPr>
                <m:t>~M×P</m:t>
              </m:r>
              <m:d>
                <m:dPr>
                  <m:ctrlPr>
                    <w:rPr>
                      <w:rFonts w:ascii="Cambria Math" w:eastAsiaTheme="minorEastAsia" w:hAnsi="Cambria Math"/>
                      <w:i/>
                      <w:sz w:val="20"/>
                      <w:szCs w:val="20"/>
                    </w:rPr>
                  </m:ctrlPr>
                </m:dPr>
                <m:e>
                  <m:acc>
                    <m:accPr>
                      <m:chr m:val="̃"/>
                      <m:ctrlPr>
                        <w:rPr>
                          <w:rFonts w:ascii="Cambria Math" w:eastAsiaTheme="minorEastAsia" w:hAnsi="Cambria Math"/>
                          <w:i/>
                          <w:sz w:val="20"/>
                          <w:szCs w:val="20"/>
                        </w:rPr>
                      </m:ctrlPr>
                    </m:accPr>
                    <m:e>
                      <m:r>
                        <w:rPr>
                          <w:rFonts w:ascii="Cambria Math" w:eastAsiaTheme="minorEastAsia" w:hAnsi="Cambria Math"/>
                          <w:sz w:val="20"/>
                          <w:szCs w:val="20"/>
                        </w:rPr>
                        <m:t>α</m:t>
                      </m:r>
                    </m:e>
                  </m:acc>
                </m:e>
              </m:d>
            </m:e>
          </m:nary>
        </m:oMath>
      </m:oMathPara>
    </w:p>
    <w:p w:rsidR="00D33ED8" w:rsidRDefault="00D33ED8" w:rsidP="00D33ED8">
      <w:r w:rsidRPr="00524C62">
        <w:t xml:space="preserve">where </w:t>
      </w:r>
      <m:oMath>
        <m:r>
          <w:rPr>
            <w:rFonts w:ascii="Cambria Math" w:hAnsi="Cambria Math"/>
          </w:rPr>
          <m:t>M</m:t>
        </m:r>
      </m:oMath>
      <w:r w:rsidRPr="00524C62">
        <w:t xml:space="preserve"> is the </w:t>
      </w:r>
      <w:r w:rsidR="003A1D6D">
        <w:t>average</w:t>
      </w:r>
      <w:r w:rsidRPr="00524C62">
        <w:t xml:space="preserve"> size of the outstanding mortgage balance</w:t>
      </w:r>
      <w:r w:rsidR="003A1D6D">
        <w:t>s</w:t>
      </w:r>
      <w:r w:rsidRPr="00524C62">
        <w:t xml:space="preserve"> and </w:t>
      </w:r>
      <m:oMath>
        <m:r>
          <w:rPr>
            <w:rFonts w:ascii="Cambria Math" w:hAnsi="Cambria Math"/>
          </w:rPr>
          <m:t>B=nM</m:t>
        </m:r>
      </m:oMath>
      <w:r w:rsidRPr="00524C62">
        <w:t xml:space="preserve"> </w:t>
      </w:r>
      <w:r w:rsidR="003A1D6D">
        <w:t>represents</w:t>
      </w:r>
      <w:r w:rsidRPr="00524C62">
        <w:t xml:space="preserve"> outstanding total mortgage balances. In the simulations, parameter </w:t>
      </w:r>
      <m:oMath>
        <m:r>
          <w:rPr>
            <w:rFonts w:ascii="Cambria Math" w:hAnsi="Cambria Math"/>
          </w:rPr>
          <m:t>M</m:t>
        </m:r>
      </m:oMath>
      <w:r w:rsidRPr="00524C62">
        <w:t xml:space="preserve"> is estimated at the issue date as the average mortgage balance and then in each consecutive period the paramete</w:t>
      </w:r>
      <w:r w:rsidR="00083812">
        <w:t>r is adjusted so that the ratio</w:t>
      </w:r>
      <w:r w:rsidRPr="00524C62">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t</m:t>
                </m:r>
              </m:sub>
            </m:sSub>
          </m:num>
          <m:den>
            <m:sSub>
              <m:sSubPr>
                <m:ctrlPr>
                  <w:rPr>
                    <w:rFonts w:ascii="Cambria Math" w:hAnsi="Cambria Math"/>
                    <w:i/>
                  </w:rPr>
                </m:ctrlPr>
              </m:sSubPr>
              <m:e>
                <m:r>
                  <w:rPr>
                    <w:rFonts w:ascii="Cambria Math" w:hAnsi="Cambria Math"/>
                  </w:rPr>
                  <m:t>B</m:t>
                </m:r>
              </m:e>
              <m:sub>
                <m:r>
                  <w:rPr>
                    <w:rFonts w:ascii="Cambria Math" w:hAnsi="Cambria Math"/>
                  </w:rPr>
                  <m:t>t</m:t>
                </m:r>
              </m:sub>
            </m:sSub>
          </m:den>
        </m:f>
      </m:oMath>
      <w:r w:rsidRPr="00524C62">
        <w:t xml:space="preserve"> is constant at each period of time (the loss amount is proportional to the current outstanding balances).</w:t>
      </w:r>
    </w:p>
    <w:p w:rsidR="00083812" w:rsidRDefault="00083812" w:rsidP="006261D5">
      <w:pPr>
        <w:pStyle w:val="Heading3"/>
      </w:pPr>
      <w:r>
        <w:lastRenderedPageBreak/>
        <w:t>Estimation of Loss Parameter</w:t>
      </w:r>
    </w:p>
    <w:p w:rsidR="00083812" w:rsidRDefault="002C3540" w:rsidP="00083812">
      <w:r>
        <w:t>There are two alternative approaches to estimate the loss rate parameter:</w:t>
      </w:r>
    </w:p>
    <w:p w:rsidR="002C3540" w:rsidRPr="002C3540" w:rsidRDefault="002C3540" w:rsidP="002C3540">
      <w:pPr>
        <w:pStyle w:val="ListParagraph"/>
        <w:numPr>
          <w:ilvl w:val="0"/>
          <w:numId w:val="16"/>
        </w:numPr>
      </w:pPr>
      <w:r>
        <w:t xml:space="preserve">Direct approach based on </w:t>
      </w:r>
      <w:r w:rsidR="009E5656">
        <w:t xml:space="preserve">Poisson distribution and </w:t>
      </w:r>
      <w:r>
        <w:t xml:space="preserve">historical sample of losses in the CMO deal. The ratio of loss to average loan balance, </w:t>
      </w:r>
      <m:oMath>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t</m:t>
                </m:r>
              </m:sub>
            </m:sSub>
          </m:num>
          <m:den>
            <m:sSub>
              <m:sSubPr>
                <m:ctrlPr>
                  <w:rPr>
                    <w:rFonts w:ascii="Cambria Math" w:hAnsi="Cambria Math"/>
                    <w:i/>
                  </w:rPr>
                </m:ctrlPr>
              </m:sSubPr>
              <m:e>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B</m:t>
                </m:r>
              </m:e>
              <m:sub>
                <m:r>
                  <w:rPr>
                    <w:rFonts w:ascii="Cambria Math" w:hAnsi="Cambria Math"/>
                  </w:rPr>
                  <m:t>t</m:t>
                </m:r>
              </m:sub>
            </m:sSub>
          </m:den>
        </m:f>
      </m:oMath>
      <w:r>
        <w:rPr>
          <w:rFonts w:eastAsiaTheme="minorEastAsia"/>
        </w:rPr>
        <w:t xml:space="preserve"> is estimated for each period. The Poisson distribution with recovery-adjusted Poisson parameter </w:t>
      </w:r>
      <m:oMath>
        <m:acc>
          <m:accPr>
            <m:chr m:val="̃"/>
            <m:ctrlPr>
              <w:rPr>
                <w:rFonts w:ascii="Cambria Math" w:eastAsiaTheme="minorEastAsia" w:hAnsi="Cambria Math"/>
                <w:i/>
                <w:sz w:val="20"/>
                <w:szCs w:val="20"/>
              </w:rPr>
            </m:ctrlPr>
          </m:accPr>
          <m:e>
            <m:r>
              <w:rPr>
                <w:rFonts w:ascii="Cambria Math" w:eastAsiaTheme="minorEastAsia" w:hAnsi="Cambria Math"/>
                <w:sz w:val="20"/>
                <w:szCs w:val="20"/>
              </w:rPr>
              <m:t>α</m:t>
            </m:r>
          </m:e>
        </m:acc>
      </m:oMath>
      <w:r>
        <w:rPr>
          <w:rFonts w:eastAsiaTheme="minorEastAsia"/>
        </w:rPr>
        <w:t xml:space="preserve"> is estimated based on the constructed sample of loss rates;</w:t>
      </w:r>
    </w:p>
    <w:p w:rsidR="002C3540" w:rsidRPr="00083812" w:rsidRDefault="009E5656" w:rsidP="002C3540">
      <w:pPr>
        <w:pStyle w:val="ListParagraph"/>
        <w:numPr>
          <w:ilvl w:val="0"/>
          <w:numId w:val="16"/>
        </w:numPr>
      </w:pPr>
      <w:r>
        <w:t xml:space="preserve">Indirect approach based on security </w:t>
      </w:r>
      <w:r w:rsidR="00D40D3B">
        <w:t xml:space="preserve">public </w:t>
      </w:r>
      <w:r>
        <w:t xml:space="preserve">market prices. </w:t>
      </w:r>
      <w:r w:rsidR="00916B2D">
        <w:t>Security are traded in the market. The prices of the securities are either directly reported or estimated for example by Bloomberg.</w:t>
      </w:r>
      <w:r w:rsidR="00915D47">
        <w:t xml:space="preserve"> Loss parameter generally has a one-sided impact on the security prices: the higher the loss rate, the lower is the price of each security. Therefore there is a single loss rate that minimizes the sum of squared between the actual observed security prices and the prices estimated using NPV valuation approach based on the cash flow model.</w:t>
      </w:r>
    </w:p>
    <w:p w:rsidR="004F7123" w:rsidRDefault="004F7123" w:rsidP="004F7123">
      <w:pPr>
        <w:pStyle w:val="Heading2"/>
      </w:pPr>
      <w:r>
        <w:t>Principal Prepayment Rate Estimation</w:t>
      </w:r>
    </w:p>
    <w:p w:rsidR="008848AD" w:rsidRPr="00524C62" w:rsidRDefault="008848AD" w:rsidP="006C0DA8">
      <w:pPr>
        <w:rPr>
          <w:sz w:val="20"/>
          <w:szCs w:val="20"/>
        </w:rPr>
      </w:pPr>
      <w:r w:rsidRPr="00524C62">
        <w:rPr>
          <w:sz w:val="20"/>
          <w:szCs w:val="20"/>
        </w:rPr>
        <w:t>The principal payments consist of two separate parts:</w:t>
      </w:r>
    </w:p>
    <w:p w:rsidR="008848AD" w:rsidRPr="00524C62" w:rsidRDefault="00382558" w:rsidP="008848AD">
      <w:pPr>
        <w:pStyle w:val="ListParagraph"/>
        <w:numPr>
          <w:ilvl w:val="0"/>
          <w:numId w:val="2"/>
        </w:numPr>
        <w:rPr>
          <w:sz w:val="20"/>
          <w:szCs w:val="20"/>
        </w:rPr>
      </w:pPr>
      <w:r>
        <w:rPr>
          <w:sz w:val="20"/>
          <w:szCs w:val="20"/>
        </w:rPr>
        <w:t>Mandatory</w:t>
      </w:r>
      <w:r w:rsidR="008848AD" w:rsidRPr="00524C62">
        <w:rPr>
          <w:sz w:val="20"/>
          <w:szCs w:val="20"/>
        </w:rPr>
        <w:t xml:space="preserve"> principal </w:t>
      </w:r>
      <w:r>
        <w:rPr>
          <w:sz w:val="20"/>
          <w:szCs w:val="20"/>
        </w:rPr>
        <w:t>amortization</w:t>
      </w:r>
      <w:r w:rsidR="008848AD" w:rsidRPr="00524C62">
        <w:rPr>
          <w:sz w:val="20"/>
          <w:szCs w:val="20"/>
        </w:rPr>
        <w:t xml:space="preserve">. Each period a mortgage borrower pays a fixed amount so that the </w:t>
      </w:r>
      <w:r w:rsidRPr="00524C62">
        <w:rPr>
          <w:sz w:val="20"/>
          <w:szCs w:val="20"/>
        </w:rPr>
        <w:t xml:space="preserve">mortgage </w:t>
      </w:r>
      <w:r>
        <w:rPr>
          <w:sz w:val="20"/>
          <w:szCs w:val="20"/>
        </w:rPr>
        <w:t xml:space="preserve">loan </w:t>
      </w:r>
      <w:r w:rsidR="008848AD" w:rsidRPr="00524C62">
        <w:rPr>
          <w:sz w:val="20"/>
          <w:szCs w:val="20"/>
        </w:rPr>
        <w:t xml:space="preserve">principal </w:t>
      </w:r>
      <w:r>
        <w:rPr>
          <w:sz w:val="20"/>
          <w:szCs w:val="20"/>
        </w:rPr>
        <w:t>is</w:t>
      </w:r>
      <w:r w:rsidR="008848AD" w:rsidRPr="00524C62">
        <w:rPr>
          <w:sz w:val="20"/>
          <w:szCs w:val="20"/>
        </w:rPr>
        <w:t xml:space="preserve"> repaid completely on the maturity date. The condition determines the fixed payment made by the borrower in each period</w:t>
      </w:r>
      <w:r w:rsidR="00F47166">
        <w:rPr>
          <w:sz w:val="20"/>
          <w:szCs w:val="20"/>
        </w:rPr>
        <w:t>, which includes the coupon payment for the period and amortized principal amount</w:t>
      </w:r>
      <w:r w:rsidR="008848AD" w:rsidRPr="00524C62">
        <w:rPr>
          <w:sz w:val="20"/>
          <w:szCs w:val="20"/>
        </w:rPr>
        <w:t xml:space="preserve">. The </w:t>
      </w:r>
      <w:r w:rsidR="00FB0AE7">
        <w:rPr>
          <w:sz w:val="20"/>
          <w:szCs w:val="20"/>
        </w:rPr>
        <w:t>mandatory</w:t>
      </w:r>
      <w:r w:rsidR="00FB0AE7" w:rsidRPr="00524C62">
        <w:rPr>
          <w:sz w:val="20"/>
          <w:szCs w:val="20"/>
        </w:rPr>
        <w:t xml:space="preserve"> principal </w:t>
      </w:r>
      <w:r w:rsidR="00FB0AE7">
        <w:rPr>
          <w:sz w:val="20"/>
          <w:szCs w:val="20"/>
        </w:rPr>
        <w:t>amortization is calculate as the</w:t>
      </w:r>
      <w:r w:rsidR="00FB0AE7" w:rsidRPr="00524C62">
        <w:rPr>
          <w:sz w:val="20"/>
          <w:szCs w:val="20"/>
        </w:rPr>
        <w:t xml:space="preserve"> </w:t>
      </w:r>
      <w:r w:rsidR="008848AD" w:rsidRPr="00524C62">
        <w:rPr>
          <w:sz w:val="20"/>
          <w:szCs w:val="20"/>
        </w:rPr>
        <w:t xml:space="preserve">difference between the </w:t>
      </w:r>
      <w:r w:rsidR="00FB0AE7">
        <w:rPr>
          <w:sz w:val="20"/>
          <w:szCs w:val="20"/>
        </w:rPr>
        <w:t xml:space="preserve">estimated </w:t>
      </w:r>
      <w:r w:rsidR="008848AD" w:rsidRPr="00524C62">
        <w:rPr>
          <w:sz w:val="20"/>
          <w:szCs w:val="20"/>
        </w:rPr>
        <w:t xml:space="preserve">fixed </w:t>
      </w:r>
      <w:r w:rsidR="00FB0AE7">
        <w:rPr>
          <w:sz w:val="20"/>
          <w:szCs w:val="20"/>
        </w:rPr>
        <w:t xml:space="preserve">monthly </w:t>
      </w:r>
      <w:r w:rsidR="008848AD" w:rsidRPr="00524C62">
        <w:rPr>
          <w:sz w:val="20"/>
          <w:szCs w:val="20"/>
        </w:rPr>
        <w:t xml:space="preserve">payment and the </w:t>
      </w:r>
      <w:r w:rsidR="00FB0AE7">
        <w:rPr>
          <w:sz w:val="20"/>
          <w:szCs w:val="20"/>
        </w:rPr>
        <w:t>coupon payment</w:t>
      </w:r>
      <w:r w:rsidR="008848AD" w:rsidRPr="00524C62">
        <w:rPr>
          <w:sz w:val="20"/>
          <w:szCs w:val="20"/>
        </w:rPr>
        <w:t xml:space="preserve">. </w:t>
      </w:r>
    </w:p>
    <w:p w:rsidR="00BD7634" w:rsidRPr="00524C62" w:rsidRDefault="00BD7634" w:rsidP="008848AD">
      <w:pPr>
        <w:pStyle w:val="ListParagraph"/>
        <w:numPr>
          <w:ilvl w:val="0"/>
          <w:numId w:val="2"/>
        </w:numPr>
        <w:rPr>
          <w:sz w:val="20"/>
          <w:szCs w:val="20"/>
        </w:rPr>
      </w:pPr>
      <w:r w:rsidRPr="00524C62">
        <w:rPr>
          <w:sz w:val="20"/>
          <w:szCs w:val="20"/>
        </w:rPr>
        <w:t xml:space="preserve">In addition to </w:t>
      </w:r>
      <w:r w:rsidR="00C04AA6">
        <w:rPr>
          <w:sz w:val="20"/>
          <w:szCs w:val="20"/>
        </w:rPr>
        <w:t>mandatory</w:t>
      </w:r>
      <w:r w:rsidR="00C04AA6" w:rsidRPr="00524C62">
        <w:rPr>
          <w:sz w:val="20"/>
          <w:szCs w:val="20"/>
        </w:rPr>
        <w:t xml:space="preserve"> principal </w:t>
      </w:r>
      <w:r w:rsidR="00C04AA6">
        <w:rPr>
          <w:sz w:val="20"/>
          <w:szCs w:val="20"/>
        </w:rPr>
        <w:t>amortization</w:t>
      </w:r>
      <w:r w:rsidRPr="00524C62">
        <w:rPr>
          <w:sz w:val="20"/>
          <w:szCs w:val="20"/>
        </w:rPr>
        <w:t xml:space="preserve">, </w:t>
      </w:r>
      <w:r w:rsidR="00C04AA6">
        <w:rPr>
          <w:sz w:val="20"/>
          <w:szCs w:val="20"/>
        </w:rPr>
        <w:t>the mortgage loan</w:t>
      </w:r>
      <w:r w:rsidRPr="00524C62">
        <w:rPr>
          <w:sz w:val="20"/>
          <w:szCs w:val="20"/>
        </w:rPr>
        <w:t xml:space="preserve"> borrower has an option to prepay </w:t>
      </w:r>
      <w:r w:rsidR="00C04AA6">
        <w:rPr>
          <w:sz w:val="20"/>
          <w:szCs w:val="20"/>
        </w:rPr>
        <w:t xml:space="preserve">in </w:t>
      </w:r>
      <w:r w:rsidRPr="00524C62">
        <w:rPr>
          <w:sz w:val="20"/>
          <w:szCs w:val="20"/>
        </w:rPr>
        <w:t xml:space="preserve">part </w:t>
      </w:r>
      <w:r w:rsidR="00C04AA6">
        <w:rPr>
          <w:sz w:val="20"/>
          <w:szCs w:val="20"/>
        </w:rPr>
        <w:t xml:space="preserve">or the whole </w:t>
      </w:r>
      <w:r w:rsidRPr="00524C62">
        <w:rPr>
          <w:sz w:val="20"/>
          <w:szCs w:val="20"/>
        </w:rPr>
        <w:t>mortgage</w:t>
      </w:r>
      <w:r w:rsidR="00C04AA6">
        <w:rPr>
          <w:sz w:val="20"/>
          <w:szCs w:val="20"/>
        </w:rPr>
        <w:t xml:space="preserve"> loan</w:t>
      </w:r>
      <w:r w:rsidRPr="00524C62">
        <w:rPr>
          <w:sz w:val="20"/>
          <w:szCs w:val="20"/>
        </w:rPr>
        <w:t xml:space="preserve">. </w:t>
      </w:r>
      <w:r w:rsidR="009F78DD" w:rsidRPr="00524C62">
        <w:rPr>
          <w:sz w:val="20"/>
          <w:szCs w:val="20"/>
        </w:rPr>
        <w:t xml:space="preserve">The </w:t>
      </w:r>
      <w:r w:rsidR="00BC176C">
        <w:rPr>
          <w:sz w:val="20"/>
          <w:szCs w:val="20"/>
        </w:rPr>
        <w:t xml:space="preserve">voluntary principal </w:t>
      </w:r>
      <w:r w:rsidR="009F78DD" w:rsidRPr="00524C62">
        <w:rPr>
          <w:sz w:val="20"/>
          <w:szCs w:val="20"/>
        </w:rPr>
        <w:t>prepayment depends in general on</w:t>
      </w:r>
      <w:r w:rsidR="00BC176C">
        <w:rPr>
          <w:sz w:val="20"/>
          <w:szCs w:val="20"/>
        </w:rPr>
        <w:t xml:space="preserve"> multiple economic and borrower-</w:t>
      </w:r>
      <w:r w:rsidR="009F78DD" w:rsidRPr="00524C62">
        <w:rPr>
          <w:sz w:val="20"/>
          <w:szCs w:val="20"/>
        </w:rPr>
        <w:t xml:space="preserve">specific factors and is modelled as a random process. </w:t>
      </w:r>
      <w:r w:rsidR="000E0CEB" w:rsidRPr="00524C62">
        <w:rPr>
          <w:sz w:val="20"/>
          <w:szCs w:val="20"/>
        </w:rPr>
        <w:t>The prepayment rate determines how quickly the outstanding balances are reduce</w:t>
      </w:r>
      <w:r w:rsidR="00BC176C">
        <w:rPr>
          <w:sz w:val="20"/>
          <w:szCs w:val="20"/>
        </w:rPr>
        <w:t>d</w:t>
      </w:r>
      <w:r w:rsidR="000E0CEB" w:rsidRPr="00524C62">
        <w:rPr>
          <w:sz w:val="20"/>
          <w:szCs w:val="20"/>
        </w:rPr>
        <w:t xml:space="preserve"> in each </w:t>
      </w:r>
      <w:r w:rsidR="00BC176C">
        <w:rPr>
          <w:sz w:val="20"/>
          <w:szCs w:val="20"/>
        </w:rPr>
        <w:t>security</w:t>
      </w:r>
      <w:r w:rsidR="000E0CEB" w:rsidRPr="00524C62">
        <w:rPr>
          <w:sz w:val="20"/>
          <w:szCs w:val="20"/>
        </w:rPr>
        <w:t xml:space="preserve"> and, therefore, represent a significant factor in the valuation of the </w:t>
      </w:r>
      <w:r w:rsidR="00BC176C">
        <w:rPr>
          <w:sz w:val="20"/>
          <w:szCs w:val="20"/>
        </w:rPr>
        <w:t>security</w:t>
      </w:r>
      <w:r w:rsidR="00BC176C" w:rsidRPr="00524C62">
        <w:rPr>
          <w:sz w:val="20"/>
          <w:szCs w:val="20"/>
        </w:rPr>
        <w:t xml:space="preserve"> </w:t>
      </w:r>
      <w:r w:rsidR="000E0CEB" w:rsidRPr="00524C62">
        <w:rPr>
          <w:sz w:val="20"/>
          <w:szCs w:val="20"/>
        </w:rPr>
        <w:t>risks.</w:t>
      </w:r>
    </w:p>
    <w:p w:rsidR="003F5D13" w:rsidRDefault="00324F2D" w:rsidP="000D2419">
      <w:pPr>
        <w:rPr>
          <w:sz w:val="20"/>
          <w:szCs w:val="20"/>
        </w:rPr>
      </w:pPr>
      <w:r>
        <w:rPr>
          <w:sz w:val="20"/>
          <w:szCs w:val="20"/>
        </w:rPr>
        <w:t>Note that in Alexa’s tool the balances are adjusted first for the losses and then for the mandatory</w:t>
      </w:r>
      <w:r w:rsidRPr="00524C62">
        <w:rPr>
          <w:sz w:val="20"/>
          <w:szCs w:val="20"/>
        </w:rPr>
        <w:t xml:space="preserve"> principal </w:t>
      </w:r>
      <w:r>
        <w:rPr>
          <w:sz w:val="20"/>
          <w:szCs w:val="20"/>
        </w:rPr>
        <w:t>amortization prior to principal prepayment rate estimation.</w:t>
      </w:r>
      <w:r w:rsidR="003F5D13">
        <w:rPr>
          <w:sz w:val="20"/>
          <w:szCs w:val="20"/>
        </w:rPr>
        <w:t xml:space="preserve"> </w:t>
      </w:r>
    </w:p>
    <w:p w:rsidR="00325D3F" w:rsidRDefault="003F5D13" w:rsidP="000D2419">
      <w:pPr>
        <w:rPr>
          <w:sz w:val="20"/>
          <w:szCs w:val="20"/>
        </w:rPr>
      </w:pPr>
      <w:r>
        <w:rPr>
          <w:sz w:val="20"/>
          <w:szCs w:val="20"/>
        </w:rPr>
        <w:t>The prepayment rate generally does not have a one-sided impact on the security prices. A higher prepayment rate may have both a positive or negative effect on the security prices and the effect may be different for different securities. The impact depends on the CMO deal structure and on the estimated loss rate. With high loss rate, high prepayment rate may result in lower losses and as a result in higher security price. With low loss rate, high prepayment rate may result in lower effective maturity term and as a result in lower security price.</w:t>
      </w:r>
    </w:p>
    <w:p w:rsidR="00867BD9" w:rsidRDefault="00562E71" w:rsidP="000D2419">
      <w:pPr>
        <w:rPr>
          <w:sz w:val="20"/>
          <w:szCs w:val="20"/>
        </w:rPr>
      </w:pPr>
      <w:r>
        <w:rPr>
          <w:sz w:val="20"/>
          <w:szCs w:val="20"/>
        </w:rPr>
        <w:t>Because of the uncertain impact of the prepayment rate on security prices, the recommended approach is to estimate the prepayment rate parameter based on the historical sample of prepayment rates in the CMO deal.</w:t>
      </w:r>
    </w:p>
    <w:p w:rsidR="00162F58" w:rsidRDefault="00162F58" w:rsidP="00162F58">
      <w:pPr>
        <w:pStyle w:val="Heading3"/>
      </w:pPr>
      <w:r>
        <w:t>PSA Prepayment model</w:t>
      </w:r>
    </w:p>
    <w:p w:rsidR="00162F58" w:rsidRDefault="00162F58" w:rsidP="00162F58">
      <w:r>
        <w:t xml:space="preserve">The PSA Prepayment Model is a prepayment scale developed by the Public Securities Association in 1985 for analyzing American mortgage-backed securities. The PSA model assumes increasing prepayment rates for the first 30 months after mortgage origination and a constant prepayment rate </w:t>
      </w:r>
      <w:r w:rsidR="009860F6">
        <w:lastRenderedPageBreak/>
        <w:t>thereafter.</w:t>
      </w:r>
      <w:r>
        <w:t xml:space="preserve"> This approximates real-world experience that during the first few years, mortgage borrowers:</w:t>
      </w:r>
    </w:p>
    <w:p w:rsidR="00162F58" w:rsidRDefault="00162F58" w:rsidP="00162F58">
      <w:pPr>
        <w:pStyle w:val="ListParagraph"/>
        <w:numPr>
          <w:ilvl w:val="0"/>
          <w:numId w:val="17"/>
        </w:numPr>
      </w:pPr>
      <w:r>
        <w:t>are less likely to relocate to a different home,</w:t>
      </w:r>
    </w:p>
    <w:p w:rsidR="00162F58" w:rsidRDefault="00162F58" w:rsidP="00162F58">
      <w:pPr>
        <w:pStyle w:val="ListParagraph"/>
        <w:numPr>
          <w:ilvl w:val="0"/>
          <w:numId w:val="17"/>
        </w:numPr>
      </w:pPr>
      <w:r>
        <w:t>are less likely to refinance into a new mortgage, and</w:t>
      </w:r>
    </w:p>
    <w:p w:rsidR="00162F58" w:rsidRDefault="00162F58" w:rsidP="00162F58">
      <w:pPr>
        <w:pStyle w:val="ListParagraph"/>
        <w:numPr>
          <w:ilvl w:val="0"/>
          <w:numId w:val="17"/>
        </w:numPr>
      </w:pPr>
      <w:r>
        <w:t>are less likely to make extra payments of principal.</w:t>
      </w:r>
    </w:p>
    <w:p w:rsidR="00162F58" w:rsidRDefault="00162F58" w:rsidP="00162F58">
      <w:r>
        <w:t>The standard model (also called "100% PSA") works as follows: Starting with an annualized prepayment rate of 0.2% in month 1, the rate increases by 0.2% each month, until it reaches 6% in month 30. From the 30th month onward, the model assumes an annualized prepayment rate of</w:t>
      </w:r>
      <w:r w:rsidR="00A901E8">
        <w:t xml:space="preserve"> 6% of the remaining balance.</w:t>
      </w:r>
      <w:r>
        <w:t xml:space="preserve"> Each monthly prepayment is assumed to represent full payoff of individual loans, rather than a partial prepayment that leaves a loan with a reduced principal balance.</w:t>
      </w:r>
    </w:p>
    <w:p w:rsidR="00562E71" w:rsidRPr="000D2419" w:rsidRDefault="00162F58" w:rsidP="00162F58">
      <w:r>
        <w:t>Variations of the model are expressed in percent; e.g., "150% PSA" means a monthly increase of 0.3% in the annualized prepayment rate, until the peak of 9% is reached after 30 months. The months thereafter have a constant annualized prepayment rate of 9%.</w:t>
      </w:r>
      <w:r w:rsidR="00562E71">
        <w:t xml:space="preserve"> </w:t>
      </w:r>
    </w:p>
    <w:p w:rsidR="0067613B" w:rsidRPr="00524C62" w:rsidRDefault="009505C9" w:rsidP="009505C9">
      <w:pPr>
        <w:pStyle w:val="Heading1"/>
      </w:pPr>
      <w:r>
        <w:t>Summary of CMO Valuation Model</w:t>
      </w:r>
    </w:p>
    <w:p w:rsidR="0067613B" w:rsidRPr="00524C62" w:rsidRDefault="00ED748A" w:rsidP="0067613B">
      <w:pPr>
        <w:rPr>
          <w:sz w:val="20"/>
          <w:szCs w:val="20"/>
        </w:rPr>
      </w:pPr>
      <w:r>
        <w:rPr>
          <w:sz w:val="20"/>
          <w:szCs w:val="20"/>
        </w:rPr>
        <w:t>CMO securities valuation is performed by</w:t>
      </w:r>
      <w:r w:rsidR="0067613B" w:rsidRPr="00524C62">
        <w:rPr>
          <w:sz w:val="20"/>
          <w:szCs w:val="20"/>
        </w:rPr>
        <w:t xml:space="preserve"> following </w:t>
      </w:r>
      <w:r>
        <w:rPr>
          <w:sz w:val="20"/>
          <w:szCs w:val="20"/>
        </w:rPr>
        <w:t xml:space="preserve">the </w:t>
      </w:r>
      <w:r w:rsidR="0067613B" w:rsidRPr="00524C62">
        <w:rPr>
          <w:sz w:val="20"/>
          <w:szCs w:val="20"/>
        </w:rPr>
        <w:t>steps</w:t>
      </w:r>
      <w:r>
        <w:rPr>
          <w:sz w:val="20"/>
          <w:szCs w:val="20"/>
        </w:rPr>
        <w:t xml:space="preserve"> below</w:t>
      </w:r>
      <w:r w:rsidR="0067613B" w:rsidRPr="00524C62">
        <w:rPr>
          <w:sz w:val="20"/>
          <w:szCs w:val="20"/>
        </w:rPr>
        <w:t>.</w:t>
      </w:r>
    </w:p>
    <w:p w:rsidR="00400B60" w:rsidRDefault="00400B60" w:rsidP="00E73BD0">
      <w:pPr>
        <w:pStyle w:val="ListParagraph"/>
        <w:numPr>
          <w:ilvl w:val="0"/>
          <w:numId w:val="4"/>
        </w:numPr>
        <w:rPr>
          <w:sz w:val="20"/>
          <w:szCs w:val="20"/>
        </w:rPr>
      </w:pPr>
      <w:r>
        <w:rPr>
          <w:sz w:val="20"/>
          <w:szCs w:val="20"/>
        </w:rPr>
        <w:t>Based on CMO</w:t>
      </w:r>
      <w:r w:rsidR="00E73BD0" w:rsidRPr="00524C62">
        <w:rPr>
          <w:sz w:val="20"/>
          <w:szCs w:val="20"/>
        </w:rPr>
        <w:t xml:space="preserve"> prospectus, estimate the </w:t>
      </w:r>
      <w:r>
        <w:rPr>
          <w:sz w:val="20"/>
          <w:szCs w:val="20"/>
        </w:rPr>
        <w:t>security structure:</w:t>
      </w:r>
    </w:p>
    <w:p w:rsidR="00E73BD0" w:rsidRDefault="00400B60" w:rsidP="00400B60">
      <w:pPr>
        <w:pStyle w:val="ListParagraph"/>
        <w:numPr>
          <w:ilvl w:val="1"/>
          <w:numId w:val="4"/>
        </w:numPr>
        <w:rPr>
          <w:sz w:val="20"/>
          <w:szCs w:val="20"/>
        </w:rPr>
      </w:pPr>
      <w:r>
        <w:rPr>
          <w:sz w:val="20"/>
          <w:szCs w:val="20"/>
        </w:rPr>
        <w:t>Summarize the list of securities in the CMO deal</w:t>
      </w:r>
      <w:r w:rsidR="00E73BD0" w:rsidRPr="00524C62">
        <w:rPr>
          <w:sz w:val="20"/>
          <w:szCs w:val="20"/>
        </w:rPr>
        <w:t>;</w:t>
      </w:r>
    </w:p>
    <w:p w:rsidR="00400B60" w:rsidRDefault="00400B60" w:rsidP="00400B60">
      <w:pPr>
        <w:pStyle w:val="ListParagraph"/>
        <w:numPr>
          <w:ilvl w:val="1"/>
          <w:numId w:val="4"/>
        </w:numPr>
        <w:rPr>
          <w:sz w:val="20"/>
          <w:szCs w:val="20"/>
        </w:rPr>
      </w:pPr>
      <w:r>
        <w:rPr>
          <w:sz w:val="20"/>
          <w:szCs w:val="20"/>
        </w:rPr>
        <w:t>Summarize the outstanding balances of the securities;</w:t>
      </w:r>
    </w:p>
    <w:p w:rsidR="00400B60" w:rsidRDefault="00400B60" w:rsidP="00400B60">
      <w:pPr>
        <w:pStyle w:val="ListParagraph"/>
        <w:numPr>
          <w:ilvl w:val="1"/>
          <w:numId w:val="4"/>
        </w:numPr>
        <w:rPr>
          <w:sz w:val="20"/>
          <w:szCs w:val="20"/>
        </w:rPr>
      </w:pPr>
      <w:r>
        <w:rPr>
          <w:sz w:val="20"/>
          <w:szCs w:val="20"/>
        </w:rPr>
        <w:t>Summarize the coupon payment on the securities;</w:t>
      </w:r>
    </w:p>
    <w:p w:rsidR="00400B60" w:rsidRDefault="00A22365" w:rsidP="00400B60">
      <w:pPr>
        <w:pStyle w:val="ListParagraph"/>
        <w:numPr>
          <w:ilvl w:val="1"/>
          <w:numId w:val="4"/>
        </w:numPr>
        <w:rPr>
          <w:sz w:val="20"/>
          <w:szCs w:val="20"/>
        </w:rPr>
      </w:pPr>
      <w:r>
        <w:rPr>
          <w:sz w:val="20"/>
          <w:szCs w:val="20"/>
        </w:rPr>
        <w:t>Summarize</w:t>
      </w:r>
      <w:r w:rsidR="00400B60">
        <w:rPr>
          <w:sz w:val="20"/>
          <w:szCs w:val="20"/>
        </w:rPr>
        <w:t xml:space="preserve"> loss allocation rules and construct the respective security group tree and related application input table;</w:t>
      </w:r>
    </w:p>
    <w:p w:rsidR="00400B60" w:rsidRPr="00524C62" w:rsidRDefault="00400B60" w:rsidP="00400B60">
      <w:pPr>
        <w:pStyle w:val="ListParagraph"/>
        <w:numPr>
          <w:ilvl w:val="1"/>
          <w:numId w:val="4"/>
        </w:numPr>
        <w:rPr>
          <w:sz w:val="20"/>
          <w:szCs w:val="20"/>
        </w:rPr>
      </w:pPr>
      <w:r>
        <w:rPr>
          <w:sz w:val="20"/>
          <w:szCs w:val="20"/>
        </w:rPr>
        <w:t>Summarize principal allocation rules and construct the respective security group tree and related application input table;</w:t>
      </w:r>
    </w:p>
    <w:p w:rsidR="00E73BD0" w:rsidRDefault="00E73BD0" w:rsidP="00E73BD0">
      <w:pPr>
        <w:pStyle w:val="ListParagraph"/>
        <w:numPr>
          <w:ilvl w:val="0"/>
          <w:numId w:val="4"/>
        </w:numPr>
        <w:rPr>
          <w:sz w:val="20"/>
          <w:szCs w:val="20"/>
        </w:rPr>
      </w:pPr>
      <w:r w:rsidRPr="00524C62">
        <w:rPr>
          <w:sz w:val="20"/>
          <w:szCs w:val="20"/>
        </w:rPr>
        <w:t xml:space="preserve">Download </w:t>
      </w:r>
      <w:r w:rsidR="00AF086D">
        <w:rPr>
          <w:sz w:val="20"/>
          <w:szCs w:val="20"/>
        </w:rPr>
        <w:t>security-</w:t>
      </w:r>
      <w:r w:rsidRPr="00524C62">
        <w:rPr>
          <w:sz w:val="20"/>
          <w:szCs w:val="20"/>
        </w:rPr>
        <w:t>specific data on losses, principal payments, outstanding balances</w:t>
      </w:r>
      <w:r w:rsidR="00AF086D">
        <w:rPr>
          <w:sz w:val="20"/>
          <w:szCs w:val="20"/>
        </w:rPr>
        <w:t>, and coupon payments</w:t>
      </w:r>
      <w:r w:rsidR="00D60F73">
        <w:rPr>
          <w:sz w:val="20"/>
          <w:szCs w:val="20"/>
        </w:rPr>
        <w:t>. Validate consistency of the historical data against the allocation rules summarized above</w:t>
      </w:r>
      <w:r w:rsidRPr="00524C62">
        <w:rPr>
          <w:sz w:val="20"/>
          <w:szCs w:val="20"/>
        </w:rPr>
        <w:t>;</w:t>
      </w:r>
    </w:p>
    <w:p w:rsidR="00E5425E" w:rsidRPr="00524C62" w:rsidRDefault="00E5425E" w:rsidP="00E73BD0">
      <w:pPr>
        <w:pStyle w:val="ListParagraph"/>
        <w:numPr>
          <w:ilvl w:val="0"/>
          <w:numId w:val="4"/>
        </w:numPr>
        <w:rPr>
          <w:sz w:val="20"/>
          <w:szCs w:val="20"/>
        </w:rPr>
      </w:pPr>
      <w:r>
        <w:rPr>
          <w:sz w:val="20"/>
          <w:szCs w:val="20"/>
        </w:rPr>
        <w:t>Download available market prices for the traded securities in the CMO deal;</w:t>
      </w:r>
    </w:p>
    <w:p w:rsidR="00EA0C98" w:rsidRDefault="00EA0C98" w:rsidP="00E73BD0">
      <w:pPr>
        <w:pStyle w:val="ListParagraph"/>
        <w:numPr>
          <w:ilvl w:val="0"/>
          <w:numId w:val="4"/>
        </w:numPr>
        <w:rPr>
          <w:sz w:val="20"/>
          <w:szCs w:val="20"/>
        </w:rPr>
      </w:pPr>
      <w:r>
        <w:rPr>
          <w:sz w:val="20"/>
          <w:szCs w:val="20"/>
        </w:rPr>
        <w:t>Estimate mandatory principal amortization for the total balances of the CMO deal;</w:t>
      </w:r>
    </w:p>
    <w:p w:rsidR="00E73BD0" w:rsidRDefault="00E73BD0" w:rsidP="00E73BD0">
      <w:pPr>
        <w:pStyle w:val="ListParagraph"/>
        <w:numPr>
          <w:ilvl w:val="0"/>
          <w:numId w:val="4"/>
        </w:numPr>
        <w:rPr>
          <w:sz w:val="20"/>
          <w:szCs w:val="20"/>
        </w:rPr>
      </w:pPr>
      <w:r w:rsidRPr="00524C62">
        <w:rPr>
          <w:sz w:val="20"/>
          <w:szCs w:val="20"/>
        </w:rPr>
        <w:t xml:space="preserve">Estimate the </w:t>
      </w:r>
      <w:r w:rsidR="00EA0C98">
        <w:rPr>
          <w:sz w:val="20"/>
          <w:szCs w:val="20"/>
        </w:rPr>
        <w:t xml:space="preserve">historical loss rate based on </w:t>
      </w:r>
      <w:r w:rsidR="00E5425E">
        <w:rPr>
          <w:sz w:val="20"/>
          <w:szCs w:val="20"/>
        </w:rPr>
        <w:t>either (i) historical loss rate data or on (ii) security market prices</w:t>
      </w:r>
      <w:r w:rsidRPr="00524C62">
        <w:rPr>
          <w:sz w:val="20"/>
          <w:szCs w:val="20"/>
        </w:rPr>
        <w:t>;</w:t>
      </w:r>
    </w:p>
    <w:p w:rsidR="00E5425E" w:rsidRPr="00524C62" w:rsidRDefault="00E5425E" w:rsidP="00E73BD0">
      <w:pPr>
        <w:pStyle w:val="ListParagraph"/>
        <w:numPr>
          <w:ilvl w:val="0"/>
          <w:numId w:val="4"/>
        </w:numPr>
        <w:rPr>
          <w:sz w:val="20"/>
          <w:szCs w:val="20"/>
        </w:rPr>
      </w:pPr>
      <w:r w:rsidRPr="00524C62">
        <w:rPr>
          <w:sz w:val="20"/>
          <w:szCs w:val="20"/>
        </w:rPr>
        <w:t xml:space="preserve">Estimate the </w:t>
      </w:r>
      <w:r>
        <w:rPr>
          <w:sz w:val="20"/>
          <w:szCs w:val="20"/>
        </w:rPr>
        <w:t>historical voluntary principal prepayment rate based on historical voluntary prepayment rate data;</w:t>
      </w:r>
    </w:p>
    <w:p w:rsidR="00C12425" w:rsidRPr="00B80FA2" w:rsidRDefault="00E73BD0" w:rsidP="00B0443C">
      <w:pPr>
        <w:pStyle w:val="ListParagraph"/>
        <w:numPr>
          <w:ilvl w:val="0"/>
          <w:numId w:val="4"/>
        </w:numPr>
        <w:ind w:left="714" w:hanging="357"/>
        <w:contextualSpacing w:val="0"/>
        <w:rPr>
          <w:rFonts w:eastAsiaTheme="minorEastAsia"/>
          <w:sz w:val="20"/>
          <w:szCs w:val="20"/>
        </w:rPr>
      </w:pPr>
      <w:r w:rsidRPr="00B80FA2">
        <w:rPr>
          <w:sz w:val="20"/>
          <w:szCs w:val="20"/>
        </w:rPr>
        <w:t xml:space="preserve">Estimate </w:t>
      </w:r>
      <w:r w:rsidR="00B80FA2">
        <w:rPr>
          <w:sz w:val="20"/>
          <w:szCs w:val="20"/>
        </w:rPr>
        <w:t xml:space="preserve">the cash flows in each security of the CMO deal based on the </w:t>
      </w:r>
      <w:r w:rsidR="00E5425E">
        <w:rPr>
          <w:sz w:val="20"/>
          <w:szCs w:val="20"/>
        </w:rPr>
        <w:t xml:space="preserve">estimated parameters and </w:t>
      </w:r>
      <w:r w:rsidR="00B80FA2">
        <w:rPr>
          <w:sz w:val="20"/>
          <w:szCs w:val="20"/>
        </w:rPr>
        <w:t>formulas described above;</w:t>
      </w:r>
    </w:p>
    <w:p w:rsidR="00B80FA2" w:rsidRPr="00B80FA2" w:rsidRDefault="00B80FA2" w:rsidP="00B0443C">
      <w:pPr>
        <w:pStyle w:val="ListParagraph"/>
        <w:numPr>
          <w:ilvl w:val="0"/>
          <w:numId w:val="4"/>
        </w:numPr>
        <w:ind w:left="714" w:hanging="357"/>
        <w:contextualSpacing w:val="0"/>
        <w:rPr>
          <w:rFonts w:eastAsiaTheme="minorEastAsia"/>
          <w:sz w:val="20"/>
          <w:szCs w:val="20"/>
        </w:rPr>
      </w:pPr>
      <w:r>
        <w:rPr>
          <w:sz w:val="20"/>
          <w:szCs w:val="20"/>
        </w:rPr>
        <w:t>Estimate the risk-free discount rates applicable to the CMO securities.</w:t>
      </w:r>
    </w:p>
    <w:p w:rsidR="00052262" w:rsidRPr="00524C62" w:rsidRDefault="00052262" w:rsidP="00451743">
      <w:pPr>
        <w:pStyle w:val="ListParagraph"/>
        <w:numPr>
          <w:ilvl w:val="0"/>
          <w:numId w:val="6"/>
        </w:numPr>
        <w:spacing w:before="240"/>
        <w:contextualSpacing w:val="0"/>
        <w:rPr>
          <w:sz w:val="20"/>
          <w:szCs w:val="20"/>
        </w:rPr>
      </w:pPr>
      <w:r w:rsidRPr="00524C62">
        <w:rPr>
          <w:sz w:val="20"/>
          <w:szCs w:val="20"/>
        </w:rPr>
        <w:t xml:space="preserve">Estimate risk-free yield </w:t>
      </w:r>
      <w:r w:rsidR="005B12EB">
        <w:rPr>
          <w:sz w:val="20"/>
          <w:szCs w:val="20"/>
        </w:rPr>
        <w:t>term structure</w:t>
      </w:r>
      <w:r w:rsidRPr="00524C62">
        <w:rPr>
          <w:sz w:val="20"/>
          <w:szCs w:val="20"/>
        </w:rPr>
        <w:t xml:space="preserve"> (based </w:t>
      </w:r>
      <w:r w:rsidR="005B12EB">
        <w:rPr>
          <w:sz w:val="20"/>
          <w:szCs w:val="20"/>
        </w:rPr>
        <w:t xml:space="preserve">for example </w:t>
      </w:r>
      <w:r w:rsidRPr="00524C62">
        <w:rPr>
          <w:sz w:val="20"/>
          <w:szCs w:val="20"/>
        </w:rPr>
        <w:t>on Treasury rates)</w:t>
      </w:r>
      <w:r w:rsidR="005B12EB">
        <w:rPr>
          <w:sz w:val="20"/>
          <w:szCs w:val="20"/>
        </w:rPr>
        <w:t>;</w:t>
      </w:r>
    </w:p>
    <w:p w:rsidR="00052262" w:rsidRPr="00524C62" w:rsidRDefault="00052262" w:rsidP="00CA7BF0">
      <w:pPr>
        <w:pStyle w:val="ListParagraph"/>
        <w:numPr>
          <w:ilvl w:val="0"/>
          <w:numId w:val="6"/>
        </w:numPr>
        <w:ind w:left="1434" w:hanging="357"/>
        <w:contextualSpacing w:val="0"/>
        <w:rPr>
          <w:sz w:val="20"/>
          <w:szCs w:val="20"/>
        </w:rPr>
      </w:pPr>
      <w:r w:rsidRPr="00524C62">
        <w:rPr>
          <w:sz w:val="20"/>
          <w:szCs w:val="20"/>
        </w:rPr>
        <w:t xml:space="preserve">Convert the yield curves into the related risk-free discount factors </w:t>
      </w:r>
      <m:oMath>
        <m:sSubSup>
          <m:sSubSupPr>
            <m:ctrlPr>
              <w:rPr>
                <w:rFonts w:ascii="Cambria Math" w:hAnsi="Cambria Math"/>
                <w:i/>
                <w:sz w:val="20"/>
                <w:szCs w:val="20"/>
              </w:rPr>
            </m:ctrlPr>
          </m:sSubSupPr>
          <m:e>
            <m:r>
              <w:rPr>
                <w:rFonts w:ascii="Cambria Math" w:hAnsi="Cambria Math"/>
                <w:sz w:val="20"/>
                <w:szCs w:val="20"/>
              </w:rPr>
              <m:t>D</m:t>
            </m:r>
          </m:e>
          <m:sub>
            <m:r>
              <w:rPr>
                <w:rFonts w:ascii="Cambria Math" w:hAnsi="Cambria Math"/>
                <w:sz w:val="20"/>
                <w:szCs w:val="20"/>
              </w:rPr>
              <m:t>t</m:t>
            </m:r>
          </m:sub>
          <m:sup>
            <m:r>
              <w:rPr>
                <w:rFonts w:ascii="Cambria Math" w:hAnsi="Cambria Math"/>
                <w:sz w:val="20"/>
                <w:szCs w:val="20"/>
              </w:rPr>
              <m:t>*</m:t>
            </m:r>
          </m:sup>
        </m:sSubSup>
      </m:oMath>
      <w:r w:rsidRPr="00524C62">
        <w:rPr>
          <w:rFonts w:eastAsiaTheme="minorEastAsia"/>
          <w:sz w:val="20"/>
          <w:szCs w:val="20"/>
        </w:rPr>
        <w:t xml:space="preserve">. </w:t>
      </w:r>
    </w:p>
    <w:p w:rsidR="00DB0167" w:rsidRPr="00524C62" w:rsidRDefault="00E5425E" w:rsidP="00E73BD0">
      <w:pPr>
        <w:pStyle w:val="ListParagraph"/>
        <w:numPr>
          <w:ilvl w:val="0"/>
          <w:numId w:val="4"/>
        </w:numPr>
        <w:rPr>
          <w:sz w:val="20"/>
          <w:szCs w:val="20"/>
        </w:rPr>
      </w:pPr>
      <w:r w:rsidRPr="00E5425E">
        <w:rPr>
          <w:b/>
          <w:sz w:val="20"/>
          <w:szCs w:val="20"/>
        </w:rPr>
        <w:t>Deterministic approach</w:t>
      </w:r>
      <w:r>
        <w:rPr>
          <w:sz w:val="20"/>
          <w:szCs w:val="20"/>
        </w:rPr>
        <w:t>. Estimate the price of each security as the NPV of the related security cash flows. For the CDS contracts that hedge the CMO securities, estimate the NPV of losses in CDS-covered tranches and NPV of the fixed periodic payments to the CDS seller. Estimate the CDS price as the difference between the two NPV values</w:t>
      </w:r>
      <w:r w:rsidR="00DB0167" w:rsidRPr="00524C62">
        <w:rPr>
          <w:sz w:val="20"/>
          <w:szCs w:val="20"/>
        </w:rPr>
        <w:t>;</w:t>
      </w:r>
    </w:p>
    <w:p w:rsidR="00E5425E" w:rsidRPr="00E5425E" w:rsidRDefault="00E5425E" w:rsidP="00E73BD0">
      <w:pPr>
        <w:pStyle w:val="ListParagraph"/>
        <w:numPr>
          <w:ilvl w:val="0"/>
          <w:numId w:val="4"/>
        </w:numPr>
      </w:pPr>
      <w:r w:rsidRPr="00E5425E">
        <w:rPr>
          <w:b/>
          <w:sz w:val="20"/>
          <w:szCs w:val="20"/>
        </w:rPr>
        <w:lastRenderedPageBreak/>
        <w:t>Monte-Carlo simulation approach</w:t>
      </w:r>
      <w:r>
        <w:rPr>
          <w:b/>
          <w:sz w:val="20"/>
          <w:szCs w:val="20"/>
        </w:rPr>
        <w:t xml:space="preserve">. </w:t>
      </w:r>
    </w:p>
    <w:p w:rsidR="00220996" w:rsidRPr="00E5425E" w:rsidRDefault="00E5425E" w:rsidP="00E5425E">
      <w:pPr>
        <w:pStyle w:val="ListParagraph"/>
        <w:numPr>
          <w:ilvl w:val="1"/>
          <w:numId w:val="4"/>
        </w:numPr>
      </w:pPr>
      <w:r>
        <w:rPr>
          <w:sz w:val="20"/>
          <w:szCs w:val="20"/>
        </w:rPr>
        <w:t>Construct samples of loss rate and principal prepayment rate based on the estimated distributions of the loss rate and principal prepayment rate</w:t>
      </w:r>
      <w:r w:rsidR="00220996" w:rsidRPr="00524C62">
        <w:rPr>
          <w:sz w:val="20"/>
          <w:szCs w:val="20"/>
        </w:rPr>
        <w:t>.</w:t>
      </w:r>
      <w:r>
        <w:rPr>
          <w:sz w:val="20"/>
          <w:szCs w:val="20"/>
        </w:rPr>
        <w:t xml:space="preserve"> If the loss rate is estimated based on the market prices of the securities, then construct the sample of principal prepayment rates only;</w:t>
      </w:r>
    </w:p>
    <w:p w:rsidR="00E5425E" w:rsidRPr="00E5425E" w:rsidRDefault="00E5425E" w:rsidP="00E5425E">
      <w:pPr>
        <w:pStyle w:val="ListParagraph"/>
        <w:numPr>
          <w:ilvl w:val="1"/>
          <w:numId w:val="4"/>
        </w:numPr>
      </w:pPr>
      <w:r>
        <w:rPr>
          <w:sz w:val="20"/>
          <w:szCs w:val="20"/>
        </w:rPr>
        <w:t xml:space="preserve">Construct the sample of security prices (CDS prices) for each given loss rate and principal prepayment rate as described in step 9. </w:t>
      </w:r>
    </w:p>
    <w:p w:rsidR="00E5425E" w:rsidRPr="007E1CA2" w:rsidRDefault="00E5425E" w:rsidP="00E5425E">
      <w:pPr>
        <w:pStyle w:val="ListParagraph"/>
        <w:numPr>
          <w:ilvl w:val="1"/>
          <w:numId w:val="4"/>
        </w:numPr>
      </w:pPr>
      <w:r>
        <w:rPr>
          <w:sz w:val="20"/>
          <w:szCs w:val="20"/>
        </w:rPr>
        <w:t>Estimate the price of each security in the CMO deal as the average of the sample security prices.</w:t>
      </w:r>
    </w:p>
    <w:p w:rsidR="007E1CA2" w:rsidRPr="007D302C" w:rsidRDefault="007E1CA2" w:rsidP="007E1CA2">
      <w:pPr>
        <w:ind w:left="720"/>
        <w:rPr>
          <w:sz w:val="20"/>
          <w:szCs w:val="20"/>
        </w:rPr>
      </w:pPr>
      <w:r w:rsidRPr="007D302C">
        <w:rPr>
          <w:sz w:val="20"/>
          <w:szCs w:val="20"/>
        </w:rPr>
        <w:t xml:space="preserve">Note that the Monte-Carlo approach takes into account not only the average loss and principal prepayment rate in the security valuation, but also variation in the rates. </w:t>
      </w:r>
      <w:r w:rsidR="004B2DF5" w:rsidRPr="007D302C">
        <w:rPr>
          <w:sz w:val="20"/>
          <w:szCs w:val="20"/>
        </w:rPr>
        <w:t xml:space="preserve">Therefore the Monte-Carlo approach is generally more accurate </w:t>
      </w:r>
      <w:r w:rsidR="009A3915" w:rsidRPr="007D302C">
        <w:rPr>
          <w:sz w:val="20"/>
          <w:szCs w:val="20"/>
        </w:rPr>
        <w:t>and more robust for</w:t>
      </w:r>
      <w:r w:rsidR="004B2DF5" w:rsidRPr="007D302C">
        <w:rPr>
          <w:sz w:val="20"/>
          <w:szCs w:val="20"/>
        </w:rPr>
        <w:t xml:space="preserve"> security price valuation</w:t>
      </w:r>
      <w:r w:rsidR="00087A7E" w:rsidRPr="007D302C">
        <w:rPr>
          <w:sz w:val="20"/>
          <w:szCs w:val="20"/>
        </w:rPr>
        <w:t xml:space="preserve"> purposes</w:t>
      </w:r>
      <w:r w:rsidR="004B2DF5" w:rsidRPr="007D302C">
        <w:rPr>
          <w:sz w:val="20"/>
          <w:szCs w:val="20"/>
        </w:rPr>
        <w:t>.</w:t>
      </w:r>
    </w:p>
    <w:p w:rsidR="00F271C9" w:rsidRDefault="00F271C9" w:rsidP="00F271C9">
      <w:pPr>
        <w:pStyle w:val="Heading1"/>
      </w:pPr>
      <w:r>
        <w:t>Example</w:t>
      </w:r>
    </w:p>
    <w:p w:rsidR="00A04ADB" w:rsidRPr="00524C62" w:rsidRDefault="0018498B" w:rsidP="00D11F6E">
      <w:pPr>
        <w:rPr>
          <w:sz w:val="20"/>
          <w:szCs w:val="20"/>
        </w:rPr>
      </w:pPr>
      <w:r w:rsidRPr="007D302C">
        <w:rPr>
          <w:rFonts w:cstheme="minorHAnsi"/>
          <w:sz w:val="20"/>
          <w:szCs w:val="20"/>
        </w:rPr>
        <w:t>For illustrative purposes, we show how the valuation is performed for the BOAMS 2007-2 CMO deal</w:t>
      </w:r>
      <w:r w:rsidR="00F12D7E" w:rsidRPr="007D302C">
        <w:rPr>
          <w:rFonts w:cstheme="minorHAnsi"/>
          <w:sz w:val="20"/>
          <w:szCs w:val="20"/>
        </w:rPr>
        <w:t xml:space="preserve"> (</w:t>
      </w:r>
      <w:r w:rsidR="008D22C7" w:rsidRPr="008D22C7">
        <w:rPr>
          <w:rFonts w:cstheme="minorHAnsi"/>
          <w:sz w:val="20"/>
          <w:szCs w:val="20"/>
        </w:rPr>
        <w:t>Banc of America Mortgage Securities, Inc. Mortgage Pass-Through Certificates, Series 2007-2</w:t>
      </w:r>
      <w:r w:rsidR="00F12D7E" w:rsidRPr="007D302C">
        <w:rPr>
          <w:rFonts w:cstheme="minorHAnsi"/>
          <w:sz w:val="20"/>
          <w:szCs w:val="20"/>
        </w:rPr>
        <w:t>)</w:t>
      </w:r>
      <w:r w:rsidR="00C14274" w:rsidRPr="007D302C">
        <w:rPr>
          <w:rFonts w:cstheme="minorHAnsi"/>
          <w:sz w:val="20"/>
          <w:szCs w:val="20"/>
        </w:rPr>
        <w:t>.</w:t>
      </w:r>
      <w:r w:rsidR="007A4B79" w:rsidRPr="007D302C">
        <w:rPr>
          <w:rFonts w:cstheme="minorHAnsi"/>
          <w:sz w:val="20"/>
          <w:szCs w:val="20"/>
        </w:rPr>
        <w:t xml:space="preserve"> </w:t>
      </w:r>
      <w:r w:rsidR="00D11F6E">
        <w:rPr>
          <w:rFonts w:cstheme="minorHAnsi"/>
          <w:sz w:val="20"/>
          <w:szCs w:val="20"/>
        </w:rPr>
        <w:t>The CMO deal is described as follows</w:t>
      </w:r>
      <w:r w:rsidR="00A04ADB" w:rsidRPr="00524C62">
        <w:rPr>
          <w:sz w:val="20"/>
          <w:szCs w:val="20"/>
        </w:rPr>
        <w:t>.</w:t>
      </w:r>
    </w:p>
    <w:p w:rsidR="00C0699F" w:rsidRDefault="00C0699F" w:rsidP="001E7160">
      <w:pPr>
        <w:pStyle w:val="ListParagraph"/>
        <w:numPr>
          <w:ilvl w:val="0"/>
          <w:numId w:val="18"/>
        </w:numPr>
        <w:contextualSpacing w:val="0"/>
        <w:rPr>
          <w:sz w:val="20"/>
          <w:szCs w:val="20"/>
        </w:rPr>
      </w:pPr>
      <w:r>
        <w:rPr>
          <w:sz w:val="20"/>
          <w:szCs w:val="20"/>
        </w:rPr>
        <w:t>Prospectus link</w:t>
      </w:r>
      <w:r w:rsidR="00CB7F6E">
        <w:rPr>
          <w:sz w:val="20"/>
          <w:szCs w:val="20"/>
        </w:rPr>
        <w:t xml:space="preserve"> and the link to Excel working file with the CMO deal historical cash flows.</w:t>
      </w:r>
    </w:p>
    <w:p w:rsidR="00C0699F" w:rsidRDefault="00CC68B9" w:rsidP="001E7160">
      <w:pPr>
        <w:pStyle w:val="ListParagraph"/>
        <w:numPr>
          <w:ilvl w:val="0"/>
          <w:numId w:val="18"/>
        </w:numPr>
        <w:spacing w:before="120"/>
        <w:contextualSpacing w:val="0"/>
        <w:rPr>
          <w:rFonts w:eastAsiaTheme="minorEastAsia"/>
          <w:sz w:val="20"/>
          <w:szCs w:val="20"/>
        </w:rPr>
      </w:pPr>
      <w:r>
        <w:rPr>
          <w:rFonts w:eastAsiaTheme="minorEastAsia"/>
          <w:sz w:val="20"/>
          <w:szCs w:val="20"/>
        </w:rPr>
        <w:t>The deal was i</w:t>
      </w:r>
      <w:r w:rsidR="00C0699F">
        <w:rPr>
          <w:rFonts w:eastAsiaTheme="minorEastAsia"/>
          <w:sz w:val="20"/>
          <w:szCs w:val="20"/>
        </w:rPr>
        <w:t>ssue</w:t>
      </w:r>
      <w:r>
        <w:rPr>
          <w:rFonts w:eastAsiaTheme="minorEastAsia"/>
          <w:sz w:val="20"/>
          <w:szCs w:val="20"/>
        </w:rPr>
        <w:t>d in April 2007 and original</w:t>
      </w:r>
      <w:r w:rsidR="00C0699F">
        <w:rPr>
          <w:rFonts w:eastAsiaTheme="minorEastAsia"/>
          <w:sz w:val="20"/>
          <w:szCs w:val="20"/>
        </w:rPr>
        <w:t xml:space="preserve"> total nominal principal amount</w:t>
      </w:r>
      <w:r>
        <w:rPr>
          <w:rFonts w:eastAsiaTheme="minorEastAsia"/>
          <w:sz w:val="20"/>
          <w:szCs w:val="20"/>
        </w:rPr>
        <w:t xml:space="preserve"> mortgage pool loans was US$416,134,218</w:t>
      </w:r>
      <w:r w:rsidR="00EA2BB3">
        <w:rPr>
          <w:rFonts w:eastAsiaTheme="minorEastAsia"/>
          <w:sz w:val="20"/>
          <w:szCs w:val="20"/>
        </w:rPr>
        <w:t>. As of Sep 2017, the remaining balance of the CMO deal was US$72,295,042. The balances of junior B1-B3 and mezzanine M1-M2 securities were exhausted in August 2011</w:t>
      </w:r>
      <w:r>
        <w:rPr>
          <w:rFonts w:eastAsiaTheme="minorEastAsia"/>
          <w:sz w:val="20"/>
          <w:szCs w:val="20"/>
        </w:rPr>
        <w:t>;</w:t>
      </w:r>
    </w:p>
    <w:p w:rsidR="00C0699F" w:rsidRDefault="00DB3EE1" w:rsidP="001E7160">
      <w:pPr>
        <w:pStyle w:val="ListParagraph"/>
        <w:numPr>
          <w:ilvl w:val="0"/>
          <w:numId w:val="18"/>
        </w:numPr>
        <w:spacing w:before="120" w:after="240" w:line="240" w:lineRule="auto"/>
        <w:contextualSpacing w:val="0"/>
        <w:rPr>
          <w:rFonts w:eastAsiaTheme="minorEastAsia"/>
          <w:sz w:val="20"/>
          <w:szCs w:val="20"/>
        </w:rPr>
      </w:pPr>
      <w:r>
        <w:rPr>
          <w:rFonts w:eastAsiaTheme="minorEastAsia"/>
          <w:sz w:val="20"/>
          <w:szCs w:val="20"/>
        </w:rPr>
        <w:t xml:space="preserve">CMO </w:t>
      </w:r>
      <w:r w:rsidR="00AF56DC">
        <w:rPr>
          <w:rFonts w:eastAsiaTheme="minorEastAsia"/>
          <w:sz w:val="20"/>
          <w:szCs w:val="20"/>
        </w:rPr>
        <w:t xml:space="preserve">deal </w:t>
      </w:r>
      <w:r>
        <w:rPr>
          <w:rFonts w:eastAsiaTheme="minorEastAsia"/>
          <w:sz w:val="20"/>
          <w:szCs w:val="20"/>
        </w:rPr>
        <w:t>s</w:t>
      </w:r>
      <w:r w:rsidR="00C0699F">
        <w:rPr>
          <w:rFonts w:eastAsiaTheme="minorEastAsia"/>
          <w:sz w:val="20"/>
          <w:szCs w:val="20"/>
        </w:rPr>
        <w:t>ecurity structure</w:t>
      </w:r>
      <w:r>
        <w:rPr>
          <w:rFonts w:eastAsiaTheme="minorEastAsia"/>
          <w:sz w:val="20"/>
          <w:szCs w:val="20"/>
        </w:rPr>
        <w:t>.</w:t>
      </w:r>
      <w:r w:rsidR="00C0699F">
        <w:rPr>
          <w:rFonts w:eastAsiaTheme="minorEastAsia"/>
          <w:sz w:val="20"/>
          <w:szCs w:val="20"/>
        </w:rPr>
        <w:t xml:space="preserve"> </w:t>
      </w:r>
      <w:r w:rsidR="006968C6">
        <w:rPr>
          <w:rFonts w:eastAsiaTheme="minorEastAsia"/>
          <w:sz w:val="20"/>
          <w:szCs w:val="20"/>
        </w:rPr>
        <w:t>T</w:t>
      </w:r>
      <w:r>
        <w:rPr>
          <w:rFonts w:eastAsiaTheme="minorEastAsia"/>
          <w:sz w:val="20"/>
          <w:szCs w:val="20"/>
        </w:rPr>
        <w:t xml:space="preserve">he deal has </w:t>
      </w:r>
      <w:r w:rsidR="00BB4558">
        <w:rPr>
          <w:rFonts w:eastAsiaTheme="minorEastAsia"/>
          <w:sz w:val="20"/>
          <w:szCs w:val="20"/>
        </w:rPr>
        <w:t>one class</w:t>
      </w:r>
      <w:r>
        <w:rPr>
          <w:rFonts w:eastAsiaTheme="minorEastAsia"/>
          <w:sz w:val="20"/>
          <w:szCs w:val="20"/>
        </w:rPr>
        <w:t xml:space="preserve"> of senior securities A1 to A14. The security balances are summarized in the exhibit below.</w:t>
      </w:r>
    </w:p>
    <w:tbl>
      <w:tblPr>
        <w:tblStyle w:val="TableGrid"/>
        <w:tblW w:w="8567" w:type="dxa"/>
        <w:tblInd w:w="817" w:type="dxa"/>
        <w:tblLayout w:type="fixed"/>
        <w:tblLook w:val="04A0" w:firstRow="1" w:lastRow="0" w:firstColumn="1" w:lastColumn="0" w:noHBand="0" w:noVBand="1"/>
      </w:tblPr>
      <w:tblGrid>
        <w:gridCol w:w="1730"/>
        <w:gridCol w:w="993"/>
        <w:gridCol w:w="883"/>
        <w:gridCol w:w="992"/>
        <w:gridCol w:w="992"/>
        <w:gridCol w:w="992"/>
        <w:gridCol w:w="993"/>
        <w:gridCol w:w="992"/>
      </w:tblGrid>
      <w:tr w:rsidR="008A14ED" w:rsidRPr="00C35B7D" w:rsidTr="00B0443C">
        <w:trPr>
          <w:tblHeader/>
        </w:trPr>
        <w:tc>
          <w:tcPr>
            <w:tcW w:w="1730" w:type="dxa"/>
            <w:shd w:val="clear" w:color="auto" w:fill="808080" w:themeFill="background1" w:themeFillShade="80"/>
            <w:tcMar>
              <w:top w:w="28" w:type="dxa"/>
              <w:left w:w="28" w:type="dxa"/>
              <w:bottom w:w="28" w:type="dxa"/>
              <w:right w:w="28" w:type="dxa"/>
            </w:tcMar>
            <w:vAlign w:val="center"/>
          </w:tcPr>
          <w:p w:rsidR="008A14ED" w:rsidRPr="008A14ED" w:rsidRDefault="008A14ED" w:rsidP="00C64681">
            <w:pPr>
              <w:pStyle w:val="ListParagraph"/>
              <w:spacing w:after="0"/>
              <w:ind w:left="0"/>
              <w:jc w:val="left"/>
              <w:rPr>
                <w:rFonts w:eastAsiaTheme="minorEastAsia"/>
                <w:b/>
                <w:color w:val="FFFFFF" w:themeColor="background1"/>
                <w:sz w:val="18"/>
                <w:szCs w:val="18"/>
              </w:rPr>
            </w:pPr>
            <w:r w:rsidRPr="008A14ED">
              <w:rPr>
                <w:rFonts w:eastAsiaTheme="minorEastAsia"/>
                <w:b/>
                <w:color w:val="FFFFFF" w:themeColor="background1"/>
                <w:sz w:val="18"/>
                <w:szCs w:val="18"/>
              </w:rPr>
              <w:t>Security class</w:t>
            </w:r>
          </w:p>
        </w:tc>
        <w:tc>
          <w:tcPr>
            <w:tcW w:w="3860" w:type="dxa"/>
            <w:gridSpan w:val="4"/>
            <w:shd w:val="clear" w:color="auto" w:fill="808080" w:themeFill="background1" w:themeFillShade="80"/>
            <w:tcMar>
              <w:top w:w="28" w:type="dxa"/>
              <w:left w:w="28" w:type="dxa"/>
              <w:bottom w:w="28" w:type="dxa"/>
              <w:right w:w="28" w:type="dxa"/>
            </w:tcMar>
            <w:vAlign w:val="center"/>
          </w:tcPr>
          <w:p w:rsidR="008A14ED" w:rsidRPr="008A14ED" w:rsidRDefault="008A14ED" w:rsidP="00C64681">
            <w:pPr>
              <w:pStyle w:val="ListParagraph"/>
              <w:spacing w:after="0"/>
              <w:ind w:left="0"/>
              <w:jc w:val="center"/>
              <w:rPr>
                <w:rFonts w:eastAsiaTheme="minorEastAsia"/>
                <w:b/>
                <w:color w:val="FFFFFF" w:themeColor="background1"/>
                <w:sz w:val="18"/>
                <w:szCs w:val="18"/>
              </w:rPr>
            </w:pPr>
            <w:r>
              <w:rPr>
                <w:rFonts w:eastAsiaTheme="minorEastAsia"/>
                <w:b/>
                <w:color w:val="FFFFFF" w:themeColor="background1"/>
                <w:sz w:val="18"/>
                <w:szCs w:val="18"/>
              </w:rPr>
              <w:t>Nominal balance amount</w:t>
            </w:r>
          </w:p>
        </w:tc>
        <w:tc>
          <w:tcPr>
            <w:tcW w:w="1985" w:type="dxa"/>
            <w:gridSpan w:val="2"/>
            <w:shd w:val="clear" w:color="auto" w:fill="808080" w:themeFill="background1" w:themeFillShade="80"/>
            <w:tcMar>
              <w:top w:w="28" w:type="dxa"/>
              <w:left w:w="28" w:type="dxa"/>
              <w:bottom w:w="28" w:type="dxa"/>
              <w:right w:w="28" w:type="dxa"/>
            </w:tcMar>
          </w:tcPr>
          <w:p w:rsidR="008A14ED" w:rsidRPr="008A14ED" w:rsidRDefault="008A14ED" w:rsidP="00C64681">
            <w:pPr>
              <w:pStyle w:val="ListParagraph"/>
              <w:spacing w:after="0"/>
              <w:ind w:left="0"/>
              <w:jc w:val="center"/>
              <w:rPr>
                <w:rFonts w:eastAsiaTheme="minorEastAsia"/>
                <w:b/>
                <w:color w:val="FFFFFF" w:themeColor="background1"/>
                <w:sz w:val="18"/>
                <w:szCs w:val="18"/>
              </w:rPr>
            </w:pPr>
            <w:r>
              <w:rPr>
                <w:rFonts w:eastAsiaTheme="minorEastAsia"/>
                <w:b/>
                <w:color w:val="FFFFFF" w:themeColor="background1"/>
                <w:sz w:val="18"/>
                <w:szCs w:val="18"/>
              </w:rPr>
              <w:t>Allocation shares</w:t>
            </w:r>
          </w:p>
        </w:tc>
        <w:tc>
          <w:tcPr>
            <w:tcW w:w="992" w:type="dxa"/>
            <w:shd w:val="clear" w:color="auto" w:fill="808080" w:themeFill="background1" w:themeFillShade="80"/>
            <w:tcMar>
              <w:top w:w="28" w:type="dxa"/>
              <w:left w:w="28" w:type="dxa"/>
              <w:bottom w:w="28" w:type="dxa"/>
              <w:right w:w="28" w:type="dxa"/>
            </w:tcMar>
          </w:tcPr>
          <w:p w:rsidR="008A14ED" w:rsidRPr="008A14ED" w:rsidRDefault="00B768A1" w:rsidP="00C64681">
            <w:pPr>
              <w:pStyle w:val="ListParagraph"/>
              <w:spacing w:after="0"/>
              <w:ind w:left="0"/>
              <w:jc w:val="center"/>
              <w:rPr>
                <w:rFonts w:eastAsiaTheme="minorEastAsia"/>
                <w:b/>
                <w:color w:val="FFFFFF" w:themeColor="background1"/>
                <w:sz w:val="18"/>
                <w:szCs w:val="18"/>
              </w:rPr>
            </w:pPr>
            <w:r>
              <w:rPr>
                <w:rFonts w:eastAsiaTheme="minorEastAsia"/>
                <w:b/>
                <w:color w:val="FFFFFF" w:themeColor="background1"/>
                <w:sz w:val="18"/>
                <w:szCs w:val="18"/>
              </w:rPr>
              <w:t>Coupon rate</w:t>
            </w:r>
          </w:p>
        </w:tc>
      </w:tr>
      <w:tr w:rsidR="008A14ED" w:rsidRPr="00C35B7D" w:rsidTr="00B0443C">
        <w:trPr>
          <w:tblHeader/>
        </w:trPr>
        <w:tc>
          <w:tcPr>
            <w:tcW w:w="1730" w:type="dxa"/>
            <w:shd w:val="clear" w:color="auto" w:fill="808080" w:themeFill="background1" w:themeFillShade="80"/>
            <w:tcMar>
              <w:top w:w="28" w:type="dxa"/>
              <w:left w:w="28" w:type="dxa"/>
              <w:bottom w:w="28" w:type="dxa"/>
              <w:right w:w="28" w:type="dxa"/>
            </w:tcMar>
            <w:vAlign w:val="center"/>
          </w:tcPr>
          <w:p w:rsidR="008A14ED" w:rsidRPr="000851A6" w:rsidRDefault="008A14ED" w:rsidP="00C64681">
            <w:pPr>
              <w:pStyle w:val="ListParagraph"/>
              <w:spacing w:after="0"/>
              <w:ind w:left="0"/>
              <w:jc w:val="left"/>
              <w:rPr>
                <w:rFonts w:eastAsiaTheme="minorEastAsia"/>
                <w:b/>
                <w:sz w:val="18"/>
                <w:szCs w:val="18"/>
              </w:rPr>
            </w:pPr>
          </w:p>
        </w:tc>
        <w:tc>
          <w:tcPr>
            <w:tcW w:w="1876" w:type="dxa"/>
            <w:gridSpan w:val="2"/>
            <w:shd w:val="clear" w:color="auto" w:fill="808080" w:themeFill="background1" w:themeFillShade="80"/>
            <w:tcMar>
              <w:top w:w="28" w:type="dxa"/>
              <w:left w:w="28" w:type="dxa"/>
              <w:bottom w:w="28" w:type="dxa"/>
              <w:right w:w="28" w:type="dxa"/>
            </w:tcMar>
            <w:vAlign w:val="center"/>
          </w:tcPr>
          <w:p w:rsidR="008A14ED" w:rsidRPr="000851A6" w:rsidRDefault="008A14ED" w:rsidP="00C64681">
            <w:pPr>
              <w:pStyle w:val="ListParagraph"/>
              <w:spacing w:after="0"/>
              <w:ind w:left="0"/>
              <w:jc w:val="center"/>
              <w:rPr>
                <w:rFonts w:eastAsiaTheme="minorEastAsia"/>
                <w:b/>
                <w:color w:val="FFFFFF" w:themeColor="background1"/>
                <w:sz w:val="18"/>
                <w:szCs w:val="18"/>
              </w:rPr>
            </w:pPr>
            <w:r>
              <w:rPr>
                <w:rFonts w:eastAsiaTheme="minorEastAsia"/>
                <w:b/>
                <w:color w:val="FFFFFF" w:themeColor="background1"/>
                <w:sz w:val="18"/>
                <w:szCs w:val="18"/>
              </w:rPr>
              <w:t>Issue date</w:t>
            </w:r>
          </w:p>
        </w:tc>
        <w:tc>
          <w:tcPr>
            <w:tcW w:w="1984" w:type="dxa"/>
            <w:gridSpan w:val="2"/>
            <w:shd w:val="clear" w:color="auto" w:fill="808080" w:themeFill="background1" w:themeFillShade="80"/>
            <w:tcMar>
              <w:top w:w="28" w:type="dxa"/>
              <w:left w:w="28" w:type="dxa"/>
              <w:bottom w:w="28" w:type="dxa"/>
              <w:right w:w="28" w:type="dxa"/>
            </w:tcMar>
            <w:vAlign w:val="center"/>
          </w:tcPr>
          <w:p w:rsidR="008A14ED" w:rsidRPr="000851A6" w:rsidRDefault="008A14ED" w:rsidP="00C64681">
            <w:pPr>
              <w:pStyle w:val="ListParagraph"/>
              <w:spacing w:after="0"/>
              <w:ind w:left="0"/>
              <w:jc w:val="center"/>
              <w:rPr>
                <w:rFonts w:eastAsiaTheme="minorEastAsia"/>
                <w:b/>
                <w:color w:val="FFFFFF" w:themeColor="background1"/>
                <w:sz w:val="18"/>
                <w:szCs w:val="18"/>
              </w:rPr>
            </w:pPr>
            <w:r>
              <w:rPr>
                <w:rFonts w:eastAsiaTheme="minorEastAsia"/>
                <w:b/>
                <w:color w:val="FFFFFF" w:themeColor="background1"/>
                <w:sz w:val="18"/>
                <w:szCs w:val="18"/>
              </w:rPr>
              <w:t>September 2017</w:t>
            </w:r>
          </w:p>
        </w:tc>
        <w:tc>
          <w:tcPr>
            <w:tcW w:w="992" w:type="dxa"/>
            <w:shd w:val="clear" w:color="auto" w:fill="808080" w:themeFill="background1" w:themeFillShade="80"/>
            <w:tcMar>
              <w:top w:w="28" w:type="dxa"/>
              <w:left w:w="28" w:type="dxa"/>
              <w:bottom w:w="28" w:type="dxa"/>
              <w:right w:w="28" w:type="dxa"/>
            </w:tcMar>
          </w:tcPr>
          <w:p w:rsidR="008A14ED" w:rsidRPr="000851A6" w:rsidRDefault="008A14ED" w:rsidP="00C64681">
            <w:pPr>
              <w:pStyle w:val="ListParagraph"/>
              <w:spacing w:after="0"/>
              <w:ind w:left="0"/>
              <w:jc w:val="center"/>
              <w:rPr>
                <w:rFonts w:eastAsiaTheme="minorEastAsia"/>
                <w:b/>
                <w:color w:val="FFFFFF" w:themeColor="background1"/>
                <w:sz w:val="18"/>
                <w:szCs w:val="18"/>
              </w:rPr>
            </w:pPr>
            <w:r>
              <w:rPr>
                <w:rFonts w:eastAsiaTheme="minorEastAsia"/>
                <w:b/>
                <w:color w:val="FFFFFF" w:themeColor="background1"/>
                <w:sz w:val="18"/>
                <w:szCs w:val="18"/>
              </w:rPr>
              <w:t>principal</w:t>
            </w:r>
          </w:p>
        </w:tc>
        <w:tc>
          <w:tcPr>
            <w:tcW w:w="993" w:type="dxa"/>
            <w:shd w:val="clear" w:color="auto" w:fill="808080" w:themeFill="background1" w:themeFillShade="80"/>
            <w:tcMar>
              <w:top w:w="28" w:type="dxa"/>
              <w:left w:w="28" w:type="dxa"/>
              <w:bottom w:w="28" w:type="dxa"/>
              <w:right w:w="28" w:type="dxa"/>
            </w:tcMar>
          </w:tcPr>
          <w:p w:rsidR="008A14ED" w:rsidRPr="000851A6" w:rsidRDefault="00D40AAD" w:rsidP="00C64681">
            <w:pPr>
              <w:pStyle w:val="ListParagraph"/>
              <w:spacing w:after="0"/>
              <w:ind w:left="0"/>
              <w:jc w:val="center"/>
              <w:rPr>
                <w:rFonts w:eastAsiaTheme="minorEastAsia"/>
                <w:b/>
                <w:color w:val="FFFFFF" w:themeColor="background1"/>
                <w:sz w:val="18"/>
                <w:szCs w:val="18"/>
              </w:rPr>
            </w:pPr>
            <w:r>
              <w:rPr>
                <w:rFonts w:eastAsiaTheme="minorEastAsia"/>
                <w:b/>
                <w:color w:val="FFFFFF" w:themeColor="background1"/>
                <w:sz w:val="18"/>
                <w:szCs w:val="18"/>
              </w:rPr>
              <w:t>L</w:t>
            </w:r>
            <w:r w:rsidR="008A14ED">
              <w:rPr>
                <w:rFonts w:eastAsiaTheme="minorEastAsia"/>
                <w:b/>
                <w:color w:val="FFFFFF" w:themeColor="background1"/>
                <w:sz w:val="18"/>
                <w:szCs w:val="18"/>
              </w:rPr>
              <w:t>oss</w:t>
            </w:r>
          </w:p>
        </w:tc>
        <w:tc>
          <w:tcPr>
            <w:tcW w:w="992" w:type="dxa"/>
            <w:shd w:val="clear" w:color="auto" w:fill="808080" w:themeFill="background1" w:themeFillShade="80"/>
            <w:tcMar>
              <w:top w:w="28" w:type="dxa"/>
              <w:left w:w="28" w:type="dxa"/>
              <w:bottom w:w="28" w:type="dxa"/>
              <w:right w:w="28" w:type="dxa"/>
            </w:tcMar>
          </w:tcPr>
          <w:p w:rsidR="008A14ED" w:rsidRDefault="008A14ED" w:rsidP="00C64681">
            <w:pPr>
              <w:pStyle w:val="ListParagraph"/>
              <w:spacing w:after="0"/>
              <w:ind w:left="0"/>
              <w:jc w:val="center"/>
              <w:rPr>
                <w:rFonts w:eastAsiaTheme="minorEastAsia"/>
                <w:b/>
                <w:color w:val="FFFFFF" w:themeColor="background1"/>
                <w:sz w:val="18"/>
                <w:szCs w:val="18"/>
              </w:rPr>
            </w:pPr>
          </w:p>
        </w:tc>
      </w:tr>
      <w:tr w:rsidR="000851A6" w:rsidRPr="00C35B7D" w:rsidTr="000851A6">
        <w:trPr>
          <w:tblHeader/>
        </w:trPr>
        <w:tc>
          <w:tcPr>
            <w:tcW w:w="1730" w:type="dxa"/>
            <w:shd w:val="clear" w:color="auto" w:fill="808080" w:themeFill="background1" w:themeFillShade="80"/>
            <w:tcMar>
              <w:top w:w="28" w:type="dxa"/>
              <w:left w:w="28" w:type="dxa"/>
              <w:bottom w:w="28" w:type="dxa"/>
              <w:right w:w="28" w:type="dxa"/>
            </w:tcMar>
            <w:vAlign w:val="center"/>
          </w:tcPr>
          <w:p w:rsidR="000851A6" w:rsidRPr="000851A6" w:rsidRDefault="000851A6" w:rsidP="00C64681">
            <w:pPr>
              <w:pStyle w:val="ListParagraph"/>
              <w:spacing w:after="0"/>
              <w:ind w:left="0"/>
              <w:jc w:val="left"/>
              <w:rPr>
                <w:rFonts w:eastAsiaTheme="minorEastAsia"/>
                <w:b/>
                <w:sz w:val="18"/>
                <w:szCs w:val="18"/>
              </w:rPr>
            </w:pPr>
          </w:p>
        </w:tc>
        <w:tc>
          <w:tcPr>
            <w:tcW w:w="993" w:type="dxa"/>
            <w:shd w:val="clear" w:color="auto" w:fill="808080" w:themeFill="background1" w:themeFillShade="80"/>
            <w:tcMar>
              <w:top w:w="28" w:type="dxa"/>
              <w:left w:w="28" w:type="dxa"/>
              <w:bottom w:w="28" w:type="dxa"/>
              <w:right w:w="28" w:type="dxa"/>
            </w:tcMar>
            <w:vAlign w:val="center"/>
          </w:tcPr>
          <w:p w:rsidR="000851A6" w:rsidRPr="000851A6" w:rsidRDefault="000851A6" w:rsidP="00C64681">
            <w:pPr>
              <w:pStyle w:val="ListParagraph"/>
              <w:spacing w:after="0"/>
              <w:ind w:left="0"/>
              <w:jc w:val="center"/>
              <w:rPr>
                <w:rFonts w:eastAsiaTheme="minorEastAsia"/>
                <w:b/>
                <w:color w:val="FFFFFF" w:themeColor="background1"/>
                <w:sz w:val="18"/>
                <w:szCs w:val="18"/>
              </w:rPr>
            </w:pPr>
            <w:r w:rsidRPr="000851A6">
              <w:rPr>
                <w:rFonts w:eastAsiaTheme="minorEastAsia"/>
                <w:b/>
                <w:color w:val="FFFFFF" w:themeColor="background1"/>
                <w:sz w:val="18"/>
                <w:szCs w:val="18"/>
              </w:rPr>
              <w:t>in US$</w:t>
            </w:r>
          </w:p>
        </w:tc>
        <w:tc>
          <w:tcPr>
            <w:tcW w:w="883" w:type="dxa"/>
            <w:shd w:val="clear" w:color="auto" w:fill="808080" w:themeFill="background1" w:themeFillShade="80"/>
            <w:tcMar>
              <w:top w:w="28" w:type="dxa"/>
              <w:left w:w="28" w:type="dxa"/>
              <w:bottom w:w="28" w:type="dxa"/>
              <w:right w:w="28" w:type="dxa"/>
            </w:tcMar>
          </w:tcPr>
          <w:p w:rsidR="000851A6" w:rsidRPr="000851A6" w:rsidRDefault="000851A6" w:rsidP="00C64681">
            <w:pPr>
              <w:pStyle w:val="ListParagraph"/>
              <w:spacing w:after="0"/>
              <w:ind w:left="0"/>
              <w:jc w:val="center"/>
              <w:rPr>
                <w:rFonts w:eastAsiaTheme="minorEastAsia"/>
                <w:b/>
                <w:color w:val="FFFFFF" w:themeColor="background1"/>
                <w:sz w:val="18"/>
                <w:szCs w:val="18"/>
              </w:rPr>
            </w:pPr>
            <w:r w:rsidRPr="000851A6">
              <w:rPr>
                <w:rFonts w:eastAsiaTheme="minorEastAsia"/>
                <w:b/>
                <w:color w:val="FFFFFF" w:themeColor="background1"/>
                <w:sz w:val="18"/>
                <w:szCs w:val="18"/>
              </w:rPr>
              <w:t>in %</w:t>
            </w:r>
          </w:p>
        </w:tc>
        <w:tc>
          <w:tcPr>
            <w:tcW w:w="992" w:type="dxa"/>
            <w:shd w:val="clear" w:color="auto" w:fill="808080" w:themeFill="background1" w:themeFillShade="80"/>
            <w:tcMar>
              <w:top w:w="28" w:type="dxa"/>
              <w:left w:w="28" w:type="dxa"/>
              <w:bottom w:w="28" w:type="dxa"/>
              <w:right w:w="28" w:type="dxa"/>
            </w:tcMar>
            <w:vAlign w:val="center"/>
          </w:tcPr>
          <w:p w:rsidR="000851A6" w:rsidRPr="000851A6" w:rsidRDefault="000851A6" w:rsidP="00C64681">
            <w:pPr>
              <w:pStyle w:val="ListParagraph"/>
              <w:spacing w:after="0"/>
              <w:ind w:left="0"/>
              <w:jc w:val="center"/>
              <w:rPr>
                <w:rFonts w:eastAsiaTheme="minorEastAsia"/>
                <w:b/>
                <w:color w:val="FFFFFF" w:themeColor="background1"/>
                <w:sz w:val="18"/>
                <w:szCs w:val="18"/>
              </w:rPr>
            </w:pPr>
            <w:r w:rsidRPr="000851A6">
              <w:rPr>
                <w:rFonts w:eastAsiaTheme="minorEastAsia"/>
                <w:b/>
                <w:color w:val="FFFFFF" w:themeColor="background1"/>
                <w:sz w:val="18"/>
                <w:szCs w:val="18"/>
              </w:rPr>
              <w:t>in US$</w:t>
            </w:r>
          </w:p>
        </w:tc>
        <w:tc>
          <w:tcPr>
            <w:tcW w:w="992" w:type="dxa"/>
            <w:shd w:val="clear" w:color="auto" w:fill="808080" w:themeFill="background1" w:themeFillShade="80"/>
            <w:tcMar>
              <w:top w:w="28" w:type="dxa"/>
              <w:left w:w="28" w:type="dxa"/>
              <w:bottom w:w="28" w:type="dxa"/>
              <w:right w:w="28" w:type="dxa"/>
            </w:tcMar>
          </w:tcPr>
          <w:p w:rsidR="000851A6" w:rsidRPr="000851A6" w:rsidRDefault="000851A6" w:rsidP="00C64681">
            <w:pPr>
              <w:pStyle w:val="ListParagraph"/>
              <w:spacing w:after="0"/>
              <w:ind w:left="0"/>
              <w:jc w:val="center"/>
              <w:rPr>
                <w:rFonts w:eastAsiaTheme="minorEastAsia"/>
                <w:b/>
                <w:color w:val="FFFFFF" w:themeColor="background1"/>
                <w:sz w:val="18"/>
                <w:szCs w:val="18"/>
              </w:rPr>
            </w:pPr>
            <w:r w:rsidRPr="000851A6">
              <w:rPr>
                <w:rFonts w:eastAsiaTheme="minorEastAsia"/>
                <w:b/>
                <w:color w:val="FFFFFF" w:themeColor="background1"/>
                <w:sz w:val="18"/>
                <w:szCs w:val="18"/>
              </w:rPr>
              <w:t>in %</w:t>
            </w:r>
          </w:p>
        </w:tc>
        <w:tc>
          <w:tcPr>
            <w:tcW w:w="992" w:type="dxa"/>
            <w:shd w:val="clear" w:color="auto" w:fill="808080" w:themeFill="background1" w:themeFillShade="80"/>
            <w:tcMar>
              <w:top w:w="28" w:type="dxa"/>
              <w:left w:w="28" w:type="dxa"/>
              <w:bottom w:w="28" w:type="dxa"/>
              <w:right w:w="28" w:type="dxa"/>
            </w:tcMar>
          </w:tcPr>
          <w:p w:rsidR="000851A6" w:rsidRPr="000851A6" w:rsidRDefault="000851A6" w:rsidP="00C64681">
            <w:pPr>
              <w:pStyle w:val="ListParagraph"/>
              <w:spacing w:after="0"/>
              <w:ind w:left="0"/>
              <w:jc w:val="center"/>
              <w:rPr>
                <w:rFonts w:eastAsiaTheme="minorEastAsia"/>
                <w:b/>
                <w:color w:val="FFFFFF" w:themeColor="background1"/>
                <w:sz w:val="18"/>
                <w:szCs w:val="18"/>
              </w:rPr>
            </w:pPr>
            <w:r w:rsidRPr="000851A6">
              <w:rPr>
                <w:rFonts w:eastAsiaTheme="minorEastAsia"/>
                <w:b/>
                <w:color w:val="FFFFFF" w:themeColor="background1"/>
                <w:sz w:val="18"/>
                <w:szCs w:val="18"/>
              </w:rPr>
              <w:t>In %</w:t>
            </w:r>
          </w:p>
        </w:tc>
        <w:tc>
          <w:tcPr>
            <w:tcW w:w="993" w:type="dxa"/>
            <w:shd w:val="clear" w:color="auto" w:fill="808080" w:themeFill="background1" w:themeFillShade="80"/>
            <w:tcMar>
              <w:top w:w="28" w:type="dxa"/>
              <w:left w:w="28" w:type="dxa"/>
              <w:bottom w:w="28" w:type="dxa"/>
              <w:right w:w="28" w:type="dxa"/>
            </w:tcMar>
          </w:tcPr>
          <w:p w:rsidR="000851A6" w:rsidRPr="000851A6" w:rsidRDefault="000851A6" w:rsidP="00C64681">
            <w:pPr>
              <w:pStyle w:val="ListParagraph"/>
              <w:spacing w:after="0"/>
              <w:ind w:left="0"/>
              <w:jc w:val="center"/>
              <w:rPr>
                <w:rFonts w:eastAsiaTheme="minorEastAsia"/>
                <w:b/>
                <w:color w:val="FFFFFF" w:themeColor="background1"/>
                <w:sz w:val="18"/>
                <w:szCs w:val="18"/>
              </w:rPr>
            </w:pPr>
            <w:r w:rsidRPr="000851A6">
              <w:rPr>
                <w:rFonts w:eastAsiaTheme="minorEastAsia"/>
                <w:b/>
                <w:color w:val="FFFFFF" w:themeColor="background1"/>
                <w:sz w:val="18"/>
                <w:szCs w:val="18"/>
              </w:rPr>
              <w:t>In %</w:t>
            </w:r>
          </w:p>
        </w:tc>
        <w:tc>
          <w:tcPr>
            <w:tcW w:w="992" w:type="dxa"/>
            <w:shd w:val="clear" w:color="auto" w:fill="808080" w:themeFill="background1" w:themeFillShade="80"/>
            <w:tcMar>
              <w:top w:w="28" w:type="dxa"/>
              <w:left w:w="28" w:type="dxa"/>
              <w:bottom w:w="28" w:type="dxa"/>
              <w:right w:w="28" w:type="dxa"/>
            </w:tcMar>
          </w:tcPr>
          <w:p w:rsidR="000851A6" w:rsidRPr="000851A6" w:rsidRDefault="000851A6" w:rsidP="00C64681">
            <w:pPr>
              <w:pStyle w:val="ListParagraph"/>
              <w:spacing w:after="0"/>
              <w:ind w:left="0"/>
              <w:jc w:val="center"/>
              <w:rPr>
                <w:rFonts w:eastAsiaTheme="minorEastAsia"/>
                <w:b/>
                <w:color w:val="FFFFFF" w:themeColor="background1"/>
                <w:sz w:val="18"/>
                <w:szCs w:val="18"/>
              </w:rPr>
            </w:pPr>
            <w:r>
              <w:rPr>
                <w:rFonts w:eastAsiaTheme="minorEastAsia"/>
                <w:b/>
                <w:color w:val="FFFFFF" w:themeColor="background1"/>
                <w:sz w:val="18"/>
                <w:szCs w:val="18"/>
              </w:rPr>
              <w:t>In %</w:t>
            </w:r>
          </w:p>
        </w:tc>
      </w:tr>
      <w:tr w:rsidR="000851A6" w:rsidTr="000851A6">
        <w:tc>
          <w:tcPr>
            <w:tcW w:w="1730" w:type="dxa"/>
            <w:tcMar>
              <w:top w:w="28" w:type="dxa"/>
              <w:left w:w="28" w:type="dxa"/>
              <w:bottom w:w="28" w:type="dxa"/>
              <w:right w:w="28" w:type="dxa"/>
            </w:tcMar>
            <w:vAlign w:val="center"/>
          </w:tcPr>
          <w:p w:rsidR="000851A6" w:rsidRPr="000851A6" w:rsidRDefault="000851A6" w:rsidP="005C7935">
            <w:pPr>
              <w:pStyle w:val="ListParagraph"/>
              <w:spacing w:after="0"/>
              <w:ind w:left="0"/>
              <w:jc w:val="left"/>
              <w:rPr>
                <w:rFonts w:eastAsiaTheme="minorEastAsia"/>
                <w:sz w:val="18"/>
                <w:szCs w:val="18"/>
              </w:rPr>
            </w:pPr>
            <w:r w:rsidRPr="000851A6">
              <w:rPr>
                <w:rFonts w:eastAsiaTheme="minorEastAsia"/>
                <w:sz w:val="18"/>
                <w:szCs w:val="18"/>
              </w:rPr>
              <w:t>Classes B1 to B3</w:t>
            </w:r>
          </w:p>
        </w:tc>
        <w:tc>
          <w:tcPr>
            <w:tcW w:w="993" w:type="dxa"/>
            <w:tcMar>
              <w:top w:w="28" w:type="dxa"/>
              <w:left w:w="28" w:type="dxa"/>
              <w:bottom w:w="28" w:type="dxa"/>
              <w:right w:w="28" w:type="dxa"/>
            </w:tcMar>
            <w:vAlign w:val="cente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6,732,000</w:t>
            </w:r>
          </w:p>
        </w:tc>
        <w:tc>
          <w:tcPr>
            <w:tcW w:w="883" w:type="dxa"/>
            <w:tcMar>
              <w:top w:w="28" w:type="dxa"/>
              <w:left w:w="28" w:type="dxa"/>
              <w:bottom w:w="28" w:type="dxa"/>
              <w:right w:w="28" w:type="dxa"/>
            </w:tcMa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1.62%</w:t>
            </w:r>
          </w:p>
        </w:tc>
        <w:tc>
          <w:tcPr>
            <w:tcW w:w="992" w:type="dxa"/>
            <w:tcMar>
              <w:top w:w="28" w:type="dxa"/>
              <w:left w:w="28" w:type="dxa"/>
              <w:bottom w:w="28" w:type="dxa"/>
              <w:right w:w="28" w:type="dxa"/>
            </w:tcMar>
            <w:vAlign w:val="cente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0</w:t>
            </w:r>
          </w:p>
        </w:tc>
        <w:tc>
          <w:tcPr>
            <w:tcW w:w="992" w:type="dxa"/>
            <w:tcMar>
              <w:top w:w="28" w:type="dxa"/>
              <w:left w:w="28" w:type="dxa"/>
              <w:bottom w:w="28" w:type="dxa"/>
              <w:right w:w="28" w:type="dxa"/>
            </w:tcMar>
          </w:tcPr>
          <w:p w:rsidR="000851A6" w:rsidRPr="000851A6" w:rsidRDefault="000851A6" w:rsidP="005C7935">
            <w:pPr>
              <w:pStyle w:val="ListParagraph"/>
              <w:spacing w:after="0"/>
              <w:ind w:left="0"/>
              <w:jc w:val="center"/>
              <w:rPr>
                <w:rFonts w:eastAsiaTheme="minorEastAsia"/>
                <w:sz w:val="18"/>
                <w:szCs w:val="18"/>
              </w:rPr>
            </w:pPr>
          </w:p>
        </w:tc>
        <w:tc>
          <w:tcPr>
            <w:tcW w:w="992" w:type="dxa"/>
            <w:tcMar>
              <w:top w:w="28" w:type="dxa"/>
              <w:left w:w="28" w:type="dxa"/>
              <w:bottom w:w="28" w:type="dxa"/>
              <w:right w:w="28" w:type="dxa"/>
            </w:tcMar>
          </w:tcPr>
          <w:p w:rsidR="000851A6" w:rsidRPr="000851A6" w:rsidRDefault="000851A6" w:rsidP="005C7935">
            <w:pPr>
              <w:pStyle w:val="ListParagraph"/>
              <w:spacing w:after="0"/>
              <w:ind w:left="0"/>
              <w:jc w:val="center"/>
              <w:rPr>
                <w:rFonts w:eastAsiaTheme="minorEastAsia"/>
                <w:sz w:val="18"/>
                <w:szCs w:val="18"/>
              </w:rPr>
            </w:pPr>
          </w:p>
        </w:tc>
        <w:tc>
          <w:tcPr>
            <w:tcW w:w="993" w:type="dxa"/>
            <w:tcMar>
              <w:top w:w="28" w:type="dxa"/>
              <w:left w:w="28" w:type="dxa"/>
              <w:bottom w:w="28" w:type="dxa"/>
              <w:right w:w="28" w:type="dxa"/>
            </w:tcMar>
          </w:tcPr>
          <w:p w:rsidR="000851A6" w:rsidRPr="000851A6" w:rsidRDefault="000851A6" w:rsidP="005C7935">
            <w:pPr>
              <w:pStyle w:val="ListParagraph"/>
              <w:spacing w:after="0"/>
              <w:ind w:left="0"/>
              <w:jc w:val="center"/>
              <w:rPr>
                <w:rFonts w:eastAsiaTheme="minorEastAsia"/>
                <w:sz w:val="18"/>
                <w:szCs w:val="18"/>
              </w:rPr>
            </w:pPr>
          </w:p>
        </w:tc>
        <w:tc>
          <w:tcPr>
            <w:tcW w:w="992" w:type="dxa"/>
            <w:tcMar>
              <w:top w:w="28" w:type="dxa"/>
              <w:left w:w="28" w:type="dxa"/>
              <w:bottom w:w="28" w:type="dxa"/>
              <w:right w:w="28" w:type="dxa"/>
            </w:tcMar>
          </w:tcPr>
          <w:p w:rsidR="000851A6" w:rsidRPr="000851A6" w:rsidRDefault="000851A6" w:rsidP="005C7935">
            <w:pPr>
              <w:pStyle w:val="ListParagraph"/>
              <w:spacing w:after="0"/>
              <w:ind w:left="0"/>
              <w:jc w:val="center"/>
              <w:rPr>
                <w:rFonts w:eastAsiaTheme="minorEastAsia"/>
                <w:sz w:val="18"/>
                <w:szCs w:val="18"/>
              </w:rPr>
            </w:pPr>
          </w:p>
        </w:tc>
      </w:tr>
      <w:tr w:rsidR="000851A6" w:rsidTr="000851A6">
        <w:tc>
          <w:tcPr>
            <w:tcW w:w="1730" w:type="dxa"/>
            <w:tcMar>
              <w:top w:w="28" w:type="dxa"/>
              <w:left w:w="28" w:type="dxa"/>
              <w:bottom w:w="28" w:type="dxa"/>
              <w:right w:w="28" w:type="dxa"/>
            </w:tcMar>
            <w:vAlign w:val="center"/>
          </w:tcPr>
          <w:p w:rsidR="000851A6" w:rsidRPr="000851A6" w:rsidRDefault="000851A6" w:rsidP="005C7935">
            <w:pPr>
              <w:pStyle w:val="ListParagraph"/>
              <w:spacing w:after="0"/>
              <w:ind w:left="0"/>
              <w:jc w:val="left"/>
              <w:rPr>
                <w:rFonts w:eastAsiaTheme="minorEastAsia"/>
                <w:sz w:val="18"/>
                <w:szCs w:val="18"/>
              </w:rPr>
            </w:pPr>
            <w:r w:rsidRPr="000851A6">
              <w:rPr>
                <w:rFonts w:eastAsiaTheme="minorEastAsia"/>
                <w:sz w:val="18"/>
                <w:szCs w:val="18"/>
              </w:rPr>
              <w:t>Classes M1 to M2</w:t>
            </w:r>
          </w:p>
        </w:tc>
        <w:tc>
          <w:tcPr>
            <w:tcW w:w="993" w:type="dxa"/>
            <w:tcMar>
              <w:top w:w="28" w:type="dxa"/>
              <w:left w:w="28" w:type="dxa"/>
              <w:bottom w:w="28" w:type="dxa"/>
              <w:right w:w="28" w:type="dxa"/>
            </w:tcMar>
            <w:vAlign w:val="cente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9,678,000</w:t>
            </w:r>
          </w:p>
        </w:tc>
        <w:tc>
          <w:tcPr>
            <w:tcW w:w="883" w:type="dxa"/>
            <w:tcMar>
              <w:top w:w="28" w:type="dxa"/>
              <w:left w:w="28" w:type="dxa"/>
              <w:bottom w:w="28" w:type="dxa"/>
              <w:right w:w="28" w:type="dxa"/>
            </w:tcMa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2.33%</w:t>
            </w:r>
          </w:p>
        </w:tc>
        <w:tc>
          <w:tcPr>
            <w:tcW w:w="992" w:type="dxa"/>
            <w:tcMar>
              <w:top w:w="28" w:type="dxa"/>
              <w:left w:w="28" w:type="dxa"/>
              <w:bottom w:w="28" w:type="dxa"/>
              <w:right w:w="28" w:type="dxa"/>
            </w:tcMar>
            <w:vAlign w:val="cente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0</w:t>
            </w:r>
          </w:p>
        </w:tc>
        <w:tc>
          <w:tcPr>
            <w:tcW w:w="992" w:type="dxa"/>
            <w:tcMar>
              <w:top w:w="28" w:type="dxa"/>
              <w:left w:w="28" w:type="dxa"/>
              <w:bottom w:w="28" w:type="dxa"/>
              <w:right w:w="28" w:type="dxa"/>
            </w:tcMar>
          </w:tcPr>
          <w:p w:rsidR="000851A6" w:rsidRPr="000851A6" w:rsidRDefault="000851A6" w:rsidP="005C7935">
            <w:pPr>
              <w:pStyle w:val="ListParagraph"/>
              <w:spacing w:after="0"/>
              <w:ind w:left="0"/>
              <w:jc w:val="center"/>
              <w:rPr>
                <w:rFonts w:eastAsiaTheme="minorEastAsia"/>
                <w:sz w:val="18"/>
                <w:szCs w:val="18"/>
              </w:rPr>
            </w:pPr>
          </w:p>
        </w:tc>
        <w:tc>
          <w:tcPr>
            <w:tcW w:w="992" w:type="dxa"/>
            <w:tcMar>
              <w:top w:w="28" w:type="dxa"/>
              <w:left w:w="28" w:type="dxa"/>
              <w:bottom w:w="28" w:type="dxa"/>
              <w:right w:w="28" w:type="dxa"/>
            </w:tcMar>
          </w:tcPr>
          <w:p w:rsidR="000851A6" w:rsidRPr="000851A6" w:rsidRDefault="000851A6" w:rsidP="005C7935">
            <w:pPr>
              <w:pStyle w:val="ListParagraph"/>
              <w:spacing w:after="0"/>
              <w:ind w:left="0"/>
              <w:jc w:val="center"/>
              <w:rPr>
                <w:rFonts w:eastAsiaTheme="minorEastAsia"/>
                <w:sz w:val="18"/>
                <w:szCs w:val="18"/>
              </w:rPr>
            </w:pPr>
          </w:p>
        </w:tc>
        <w:tc>
          <w:tcPr>
            <w:tcW w:w="993" w:type="dxa"/>
            <w:tcMar>
              <w:top w:w="28" w:type="dxa"/>
              <w:left w:w="28" w:type="dxa"/>
              <w:bottom w:w="28" w:type="dxa"/>
              <w:right w:w="28" w:type="dxa"/>
            </w:tcMar>
          </w:tcPr>
          <w:p w:rsidR="000851A6" w:rsidRPr="000851A6" w:rsidRDefault="000851A6" w:rsidP="005C7935">
            <w:pPr>
              <w:pStyle w:val="ListParagraph"/>
              <w:spacing w:after="0"/>
              <w:ind w:left="0"/>
              <w:jc w:val="center"/>
              <w:rPr>
                <w:rFonts w:eastAsiaTheme="minorEastAsia"/>
                <w:sz w:val="18"/>
                <w:szCs w:val="18"/>
              </w:rPr>
            </w:pPr>
          </w:p>
        </w:tc>
        <w:tc>
          <w:tcPr>
            <w:tcW w:w="992" w:type="dxa"/>
            <w:tcMar>
              <w:top w:w="28" w:type="dxa"/>
              <w:left w:w="28" w:type="dxa"/>
              <w:bottom w:w="28" w:type="dxa"/>
              <w:right w:w="28" w:type="dxa"/>
            </w:tcMar>
          </w:tcPr>
          <w:p w:rsidR="000851A6" w:rsidRPr="000851A6" w:rsidRDefault="000851A6" w:rsidP="005C7935">
            <w:pPr>
              <w:pStyle w:val="ListParagraph"/>
              <w:spacing w:after="0"/>
              <w:ind w:left="0"/>
              <w:jc w:val="center"/>
              <w:rPr>
                <w:rFonts w:eastAsiaTheme="minorEastAsia"/>
                <w:sz w:val="18"/>
                <w:szCs w:val="18"/>
              </w:rPr>
            </w:pPr>
          </w:p>
        </w:tc>
      </w:tr>
      <w:tr w:rsidR="000851A6" w:rsidTr="000851A6">
        <w:tc>
          <w:tcPr>
            <w:tcW w:w="1730" w:type="dxa"/>
            <w:tcBorders>
              <w:bottom w:val="single" w:sz="4" w:space="0" w:color="auto"/>
            </w:tcBorders>
            <w:tcMar>
              <w:top w:w="28" w:type="dxa"/>
              <w:left w:w="28" w:type="dxa"/>
              <w:bottom w:w="28" w:type="dxa"/>
              <w:right w:w="28" w:type="dxa"/>
            </w:tcMar>
            <w:vAlign w:val="center"/>
          </w:tcPr>
          <w:p w:rsidR="000851A6" w:rsidRPr="000851A6" w:rsidRDefault="000851A6" w:rsidP="005C7935">
            <w:pPr>
              <w:pStyle w:val="ListParagraph"/>
              <w:spacing w:after="0"/>
              <w:ind w:left="0"/>
              <w:jc w:val="left"/>
              <w:rPr>
                <w:rFonts w:eastAsiaTheme="minorEastAsia"/>
                <w:sz w:val="18"/>
                <w:szCs w:val="18"/>
              </w:rPr>
            </w:pPr>
            <w:r w:rsidRPr="000851A6">
              <w:rPr>
                <w:rFonts w:eastAsiaTheme="minorEastAsia"/>
                <w:sz w:val="18"/>
                <w:szCs w:val="18"/>
              </w:rPr>
              <w:t>Class A1</w:t>
            </w:r>
          </w:p>
        </w:tc>
        <w:tc>
          <w:tcPr>
            <w:tcW w:w="993" w:type="dxa"/>
            <w:tcBorders>
              <w:bottom w:val="single" w:sz="4" w:space="0" w:color="auto"/>
            </w:tcBorders>
            <w:tcMar>
              <w:top w:w="28" w:type="dxa"/>
              <w:left w:w="28" w:type="dxa"/>
              <w:bottom w:w="28" w:type="dxa"/>
              <w:right w:w="28" w:type="dxa"/>
            </w:tcMar>
            <w:vAlign w:val="cente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40,001,000</w:t>
            </w:r>
          </w:p>
        </w:tc>
        <w:tc>
          <w:tcPr>
            <w:tcW w:w="883" w:type="dxa"/>
            <w:tcBorders>
              <w:bottom w:val="single" w:sz="4" w:space="0" w:color="auto"/>
            </w:tcBorders>
            <w:tcMar>
              <w:top w:w="28" w:type="dxa"/>
              <w:left w:w="28" w:type="dxa"/>
              <w:bottom w:w="28" w:type="dxa"/>
              <w:right w:w="28" w:type="dxa"/>
            </w:tcMa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9.61%</w:t>
            </w:r>
          </w:p>
        </w:tc>
        <w:tc>
          <w:tcPr>
            <w:tcW w:w="992" w:type="dxa"/>
            <w:tcBorders>
              <w:bottom w:val="single" w:sz="4" w:space="0" w:color="auto"/>
            </w:tcBorders>
            <w:tcMar>
              <w:top w:w="28" w:type="dxa"/>
              <w:left w:w="28" w:type="dxa"/>
              <w:bottom w:w="28" w:type="dxa"/>
              <w:right w:w="28" w:type="dxa"/>
            </w:tcMar>
            <w:vAlign w:val="cente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7,266,267</w:t>
            </w:r>
          </w:p>
        </w:tc>
        <w:tc>
          <w:tcPr>
            <w:tcW w:w="992" w:type="dxa"/>
            <w:tcBorders>
              <w:bottom w:val="single" w:sz="4" w:space="0" w:color="auto"/>
            </w:tcBorders>
            <w:tcMar>
              <w:top w:w="28" w:type="dxa"/>
              <w:left w:w="28" w:type="dxa"/>
              <w:bottom w:w="28" w:type="dxa"/>
              <w:right w:w="28" w:type="dxa"/>
            </w:tcMa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10.05%</w:t>
            </w:r>
          </w:p>
        </w:tc>
        <w:tc>
          <w:tcPr>
            <w:tcW w:w="992" w:type="dxa"/>
            <w:tcBorders>
              <w:bottom w:val="single" w:sz="4" w:space="0" w:color="auto"/>
            </w:tcBorders>
            <w:tcMar>
              <w:top w:w="28" w:type="dxa"/>
              <w:left w:w="28" w:type="dxa"/>
              <w:bottom w:w="28" w:type="dxa"/>
              <w:right w:w="28" w:type="dxa"/>
            </w:tcMar>
          </w:tcPr>
          <w:p w:rsidR="000851A6" w:rsidRPr="000851A6" w:rsidRDefault="006A42EA" w:rsidP="005C7935">
            <w:pPr>
              <w:pStyle w:val="ListParagraph"/>
              <w:spacing w:after="0"/>
              <w:ind w:left="0"/>
              <w:jc w:val="center"/>
              <w:rPr>
                <w:rFonts w:eastAsiaTheme="minorEastAsia"/>
                <w:sz w:val="18"/>
                <w:szCs w:val="18"/>
              </w:rPr>
            </w:pPr>
            <w:r>
              <w:rPr>
                <w:rFonts w:eastAsiaTheme="minorEastAsia"/>
                <w:sz w:val="18"/>
                <w:szCs w:val="18"/>
              </w:rPr>
              <w:t>10.10%</w:t>
            </w:r>
          </w:p>
        </w:tc>
        <w:tc>
          <w:tcPr>
            <w:tcW w:w="993" w:type="dxa"/>
            <w:tcBorders>
              <w:bottom w:val="single" w:sz="4" w:space="0" w:color="auto"/>
            </w:tcBorders>
            <w:tcMar>
              <w:top w:w="28" w:type="dxa"/>
              <w:left w:w="28" w:type="dxa"/>
              <w:bottom w:w="28" w:type="dxa"/>
              <w:right w:w="28" w:type="dxa"/>
            </w:tcMar>
          </w:tcPr>
          <w:p w:rsidR="000851A6" w:rsidRPr="000851A6" w:rsidRDefault="006A42EA" w:rsidP="005C7935">
            <w:pPr>
              <w:pStyle w:val="ListParagraph"/>
              <w:spacing w:after="0"/>
              <w:ind w:left="0"/>
              <w:jc w:val="center"/>
              <w:rPr>
                <w:rFonts w:eastAsiaTheme="minorEastAsia"/>
                <w:sz w:val="18"/>
                <w:szCs w:val="18"/>
              </w:rPr>
            </w:pPr>
            <w:r>
              <w:rPr>
                <w:rFonts w:eastAsiaTheme="minorEastAsia"/>
                <w:sz w:val="18"/>
                <w:szCs w:val="18"/>
              </w:rPr>
              <w:t>10.15%</w:t>
            </w:r>
          </w:p>
        </w:tc>
        <w:tc>
          <w:tcPr>
            <w:tcW w:w="992" w:type="dxa"/>
            <w:tcBorders>
              <w:bottom w:val="single" w:sz="4" w:space="0" w:color="auto"/>
            </w:tcBorders>
            <w:tcMar>
              <w:top w:w="28" w:type="dxa"/>
              <w:left w:w="28" w:type="dxa"/>
              <w:bottom w:w="28" w:type="dxa"/>
              <w:right w:w="28" w:type="dxa"/>
            </w:tcMar>
          </w:tcPr>
          <w:p w:rsidR="000851A6" w:rsidRPr="000851A6" w:rsidRDefault="006A42EA" w:rsidP="005C7935">
            <w:pPr>
              <w:pStyle w:val="ListParagraph"/>
              <w:spacing w:after="0"/>
              <w:ind w:left="0"/>
              <w:jc w:val="center"/>
              <w:rPr>
                <w:rFonts w:eastAsiaTheme="minorEastAsia"/>
                <w:sz w:val="18"/>
                <w:szCs w:val="18"/>
              </w:rPr>
            </w:pPr>
            <w:r>
              <w:rPr>
                <w:rFonts w:eastAsiaTheme="minorEastAsia"/>
                <w:sz w:val="18"/>
                <w:szCs w:val="18"/>
              </w:rPr>
              <w:t>1.24%</w:t>
            </w:r>
          </w:p>
        </w:tc>
      </w:tr>
      <w:tr w:rsidR="000851A6" w:rsidTr="000851A6">
        <w:tc>
          <w:tcPr>
            <w:tcW w:w="1730" w:type="dxa"/>
            <w:tcBorders>
              <w:bottom w:val="single" w:sz="4" w:space="0" w:color="auto"/>
            </w:tcBorders>
            <w:tcMar>
              <w:top w:w="28" w:type="dxa"/>
              <w:left w:w="28" w:type="dxa"/>
              <w:bottom w:w="28" w:type="dxa"/>
              <w:right w:w="28" w:type="dxa"/>
            </w:tcMar>
            <w:vAlign w:val="center"/>
          </w:tcPr>
          <w:p w:rsidR="000851A6" w:rsidRPr="000851A6" w:rsidRDefault="000851A6" w:rsidP="005C7935">
            <w:pPr>
              <w:pStyle w:val="ListParagraph"/>
              <w:spacing w:after="0"/>
              <w:ind w:left="0"/>
              <w:jc w:val="left"/>
              <w:rPr>
                <w:rFonts w:eastAsiaTheme="minorEastAsia"/>
                <w:sz w:val="18"/>
                <w:szCs w:val="18"/>
              </w:rPr>
            </w:pPr>
            <w:r w:rsidRPr="000851A6">
              <w:rPr>
                <w:rFonts w:eastAsiaTheme="minorEastAsia"/>
                <w:sz w:val="18"/>
                <w:szCs w:val="18"/>
              </w:rPr>
              <w:t>Class A3</w:t>
            </w:r>
          </w:p>
        </w:tc>
        <w:tc>
          <w:tcPr>
            <w:tcW w:w="993" w:type="dxa"/>
            <w:tcBorders>
              <w:bottom w:val="single" w:sz="4" w:space="0" w:color="auto"/>
            </w:tcBorders>
            <w:tcMar>
              <w:top w:w="28" w:type="dxa"/>
              <w:left w:w="28" w:type="dxa"/>
              <w:bottom w:w="28" w:type="dxa"/>
              <w:right w:w="28" w:type="dxa"/>
            </w:tcMar>
            <w:vAlign w:val="cente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37,306,000</w:t>
            </w:r>
          </w:p>
        </w:tc>
        <w:tc>
          <w:tcPr>
            <w:tcW w:w="883" w:type="dxa"/>
            <w:tcBorders>
              <w:bottom w:val="single" w:sz="4" w:space="0" w:color="auto"/>
            </w:tcBorders>
            <w:tcMar>
              <w:top w:w="28" w:type="dxa"/>
              <w:left w:w="28" w:type="dxa"/>
              <w:bottom w:w="28" w:type="dxa"/>
              <w:right w:w="28" w:type="dxa"/>
            </w:tcMa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8.96%</w:t>
            </w:r>
          </w:p>
        </w:tc>
        <w:tc>
          <w:tcPr>
            <w:tcW w:w="992" w:type="dxa"/>
            <w:tcBorders>
              <w:bottom w:val="single" w:sz="4" w:space="0" w:color="auto"/>
            </w:tcBorders>
            <w:tcMar>
              <w:top w:w="28" w:type="dxa"/>
              <w:left w:w="28" w:type="dxa"/>
              <w:bottom w:w="28" w:type="dxa"/>
              <w:right w:w="28" w:type="dxa"/>
            </w:tcMar>
            <w:vAlign w:val="cente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10,940,373</w:t>
            </w:r>
          </w:p>
        </w:tc>
        <w:tc>
          <w:tcPr>
            <w:tcW w:w="992" w:type="dxa"/>
            <w:tcBorders>
              <w:bottom w:val="single" w:sz="4" w:space="0" w:color="auto"/>
            </w:tcBorders>
            <w:tcMar>
              <w:top w:w="28" w:type="dxa"/>
              <w:left w:w="28" w:type="dxa"/>
              <w:bottom w:w="28" w:type="dxa"/>
              <w:right w:w="28" w:type="dxa"/>
            </w:tcMa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15.13%</w:t>
            </w:r>
          </w:p>
        </w:tc>
        <w:tc>
          <w:tcPr>
            <w:tcW w:w="992" w:type="dxa"/>
            <w:tcBorders>
              <w:bottom w:val="single" w:sz="4" w:space="0" w:color="auto"/>
            </w:tcBorders>
            <w:tcMar>
              <w:top w:w="28" w:type="dxa"/>
              <w:left w:w="28" w:type="dxa"/>
              <w:bottom w:w="28" w:type="dxa"/>
              <w:right w:w="28" w:type="dxa"/>
            </w:tcMar>
          </w:tcPr>
          <w:p w:rsidR="000851A6" w:rsidRPr="000851A6" w:rsidRDefault="006A42EA" w:rsidP="005C7935">
            <w:pPr>
              <w:pStyle w:val="ListParagraph"/>
              <w:spacing w:after="0"/>
              <w:ind w:left="0"/>
              <w:jc w:val="center"/>
              <w:rPr>
                <w:rFonts w:eastAsiaTheme="minorEastAsia"/>
                <w:sz w:val="18"/>
                <w:szCs w:val="18"/>
              </w:rPr>
            </w:pPr>
            <w:r>
              <w:rPr>
                <w:rFonts w:eastAsiaTheme="minorEastAsia"/>
                <w:sz w:val="18"/>
                <w:szCs w:val="18"/>
              </w:rPr>
              <w:t>15.21%</w:t>
            </w:r>
          </w:p>
        </w:tc>
        <w:tc>
          <w:tcPr>
            <w:tcW w:w="993" w:type="dxa"/>
            <w:tcBorders>
              <w:bottom w:val="single" w:sz="4" w:space="0" w:color="auto"/>
            </w:tcBorders>
            <w:tcMar>
              <w:top w:w="28" w:type="dxa"/>
              <w:left w:w="28" w:type="dxa"/>
              <w:bottom w:w="28" w:type="dxa"/>
              <w:right w:w="28" w:type="dxa"/>
            </w:tcMar>
          </w:tcPr>
          <w:p w:rsidR="000851A6" w:rsidRPr="000851A6" w:rsidRDefault="006A42EA" w:rsidP="005C7935">
            <w:pPr>
              <w:pStyle w:val="ListParagraph"/>
              <w:spacing w:after="0"/>
              <w:ind w:left="0"/>
              <w:jc w:val="center"/>
              <w:rPr>
                <w:rFonts w:eastAsiaTheme="minorEastAsia"/>
                <w:sz w:val="18"/>
                <w:szCs w:val="18"/>
              </w:rPr>
            </w:pPr>
            <w:r>
              <w:rPr>
                <w:rFonts w:eastAsiaTheme="minorEastAsia"/>
                <w:sz w:val="18"/>
                <w:szCs w:val="18"/>
              </w:rPr>
              <w:t>15.29%</w:t>
            </w:r>
          </w:p>
        </w:tc>
        <w:tc>
          <w:tcPr>
            <w:tcW w:w="992" w:type="dxa"/>
            <w:tcBorders>
              <w:bottom w:val="single" w:sz="4" w:space="0" w:color="auto"/>
            </w:tcBorders>
            <w:tcMar>
              <w:top w:w="28" w:type="dxa"/>
              <w:left w:w="28" w:type="dxa"/>
              <w:bottom w:w="28" w:type="dxa"/>
              <w:right w:w="28" w:type="dxa"/>
            </w:tcMar>
          </w:tcPr>
          <w:p w:rsidR="000851A6" w:rsidRPr="000851A6" w:rsidRDefault="006A42EA" w:rsidP="005C7935">
            <w:pPr>
              <w:pStyle w:val="ListParagraph"/>
              <w:spacing w:after="0"/>
              <w:ind w:left="0"/>
              <w:jc w:val="center"/>
              <w:rPr>
                <w:rFonts w:eastAsiaTheme="minorEastAsia"/>
                <w:sz w:val="18"/>
                <w:szCs w:val="18"/>
              </w:rPr>
            </w:pPr>
            <w:r>
              <w:rPr>
                <w:rFonts w:eastAsiaTheme="minorEastAsia"/>
                <w:sz w:val="18"/>
                <w:szCs w:val="18"/>
              </w:rPr>
              <w:t>6.13%</w:t>
            </w:r>
          </w:p>
        </w:tc>
      </w:tr>
      <w:tr w:rsidR="00B0443C" w:rsidTr="000851A6">
        <w:tc>
          <w:tcPr>
            <w:tcW w:w="1730" w:type="dxa"/>
            <w:tcBorders>
              <w:bottom w:val="single" w:sz="4" w:space="0" w:color="auto"/>
            </w:tcBorders>
            <w:tcMar>
              <w:top w:w="28" w:type="dxa"/>
              <w:left w:w="28" w:type="dxa"/>
              <w:bottom w:w="28" w:type="dxa"/>
              <w:right w:w="28" w:type="dxa"/>
            </w:tcMar>
            <w:vAlign w:val="center"/>
          </w:tcPr>
          <w:p w:rsidR="00B0443C" w:rsidRPr="000851A6" w:rsidRDefault="00B0443C" w:rsidP="00DE3349">
            <w:pPr>
              <w:pStyle w:val="ListParagraph"/>
              <w:spacing w:after="0"/>
              <w:ind w:left="0"/>
              <w:jc w:val="left"/>
              <w:rPr>
                <w:rFonts w:eastAsiaTheme="minorEastAsia"/>
                <w:sz w:val="18"/>
                <w:szCs w:val="18"/>
              </w:rPr>
            </w:pPr>
            <w:r>
              <w:rPr>
                <w:rFonts w:eastAsiaTheme="minorEastAsia"/>
                <w:sz w:val="18"/>
                <w:szCs w:val="18"/>
              </w:rPr>
              <w:t>Class A4</w:t>
            </w:r>
          </w:p>
        </w:tc>
        <w:tc>
          <w:tcPr>
            <w:tcW w:w="993" w:type="dxa"/>
            <w:tcBorders>
              <w:bottom w:val="single" w:sz="4" w:space="0" w:color="auto"/>
            </w:tcBorders>
            <w:tcMar>
              <w:top w:w="28" w:type="dxa"/>
              <w:left w:w="28" w:type="dxa"/>
              <w:bottom w:w="28" w:type="dxa"/>
              <w:right w:w="28" w:type="dxa"/>
            </w:tcMar>
            <w:vAlign w:val="center"/>
          </w:tcPr>
          <w:p w:rsidR="00B0443C" w:rsidRPr="000851A6" w:rsidRDefault="00B0443C" w:rsidP="00B0443C">
            <w:pPr>
              <w:pStyle w:val="ListParagraph"/>
              <w:spacing w:after="0"/>
              <w:ind w:left="0"/>
              <w:jc w:val="center"/>
              <w:rPr>
                <w:rFonts w:eastAsiaTheme="minorEastAsia"/>
                <w:sz w:val="18"/>
                <w:szCs w:val="18"/>
              </w:rPr>
            </w:pPr>
            <w:r>
              <w:rPr>
                <w:rFonts w:eastAsiaTheme="minorEastAsia"/>
                <w:sz w:val="18"/>
                <w:szCs w:val="18"/>
              </w:rPr>
              <w:t>480,000</w:t>
            </w:r>
          </w:p>
        </w:tc>
        <w:tc>
          <w:tcPr>
            <w:tcW w:w="883" w:type="dxa"/>
            <w:tcBorders>
              <w:bottom w:val="single" w:sz="4" w:space="0" w:color="auto"/>
            </w:tcBorders>
            <w:tcMar>
              <w:top w:w="28" w:type="dxa"/>
              <w:left w:w="28" w:type="dxa"/>
              <w:bottom w:w="28" w:type="dxa"/>
              <w:right w:w="28" w:type="dxa"/>
            </w:tcMar>
          </w:tcPr>
          <w:p w:rsidR="00B0443C" w:rsidRPr="000851A6" w:rsidRDefault="002F1A14" w:rsidP="00B0443C">
            <w:pPr>
              <w:pStyle w:val="ListParagraph"/>
              <w:spacing w:after="0"/>
              <w:ind w:left="0"/>
              <w:jc w:val="center"/>
              <w:rPr>
                <w:rFonts w:eastAsiaTheme="minorEastAsia"/>
                <w:sz w:val="18"/>
                <w:szCs w:val="18"/>
              </w:rPr>
            </w:pPr>
            <w:r>
              <w:rPr>
                <w:rFonts w:eastAsiaTheme="minorEastAsia"/>
                <w:sz w:val="18"/>
                <w:szCs w:val="18"/>
              </w:rPr>
              <w:t>0.12%</w:t>
            </w:r>
          </w:p>
        </w:tc>
        <w:tc>
          <w:tcPr>
            <w:tcW w:w="992" w:type="dxa"/>
            <w:tcBorders>
              <w:bottom w:val="single" w:sz="4" w:space="0" w:color="auto"/>
            </w:tcBorders>
            <w:tcMar>
              <w:top w:w="28" w:type="dxa"/>
              <w:left w:w="28" w:type="dxa"/>
              <w:bottom w:w="28" w:type="dxa"/>
              <w:right w:w="28" w:type="dxa"/>
            </w:tcMar>
            <w:vAlign w:val="center"/>
          </w:tcPr>
          <w:p w:rsidR="00B0443C" w:rsidRPr="000851A6" w:rsidRDefault="00B0443C" w:rsidP="00B0443C">
            <w:pPr>
              <w:pStyle w:val="ListParagraph"/>
              <w:spacing w:after="0"/>
              <w:ind w:left="0"/>
              <w:jc w:val="center"/>
              <w:rPr>
                <w:rFonts w:eastAsiaTheme="minorEastAsia"/>
                <w:sz w:val="18"/>
                <w:szCs w:val="18"/>
              </w:rPr>
            </w:pPr>
            <w:r w:rsidRPr="000851A6">
              <w:rPr>
                <w:rFonts w:eastAsiaTheme="minorEastAsia"/>
                <w:sz w:val="18"/>
                <w:szCs w:val="18"/>
              </w:rPr>
              <w:t>0</w:t>
            </w:r>
          </w:p>
        </w:tc>
        <w:tc>
          <w:tcPr>
            <w:tcW w:w="992" w:type="dxa"/>
            <w:tcBorders>
              <w:bottom w:val="single" w:sz="4" w:space="0" w:color="auto"/>
            </w:tcBorders>
            <w:tcMar>
              <w:top w:w="28" w:type="dxa"/>
              <w:left w:w="28" w:type="dxa"/>
              <w:bottom w:w="28" w:type="dxa"/>
              <w:right w:w="28" w:type="dxa"/>
            </w:tcMar>
          </w:tcPr>
          <w:p w:rsidR="00B0443C" w:rsidRPr="000851A6" w:rsidRDefault="00B0443C" w:rsidP="00B0443C">
            <w:pPr>
              <w:pStyle w:val="ListParagraph"/>
              <w:spacing w:after="0"/>
              <w:ind w:left="0"/>
              <w:jc w:val="center"/>
              <w:rPr>
                <w:rFonts w:eastAsiaTheme="minorEastAsia"/>
                <w:sz w:val="18"/>
                <w:szCs w:val="18"/>
              </w:rPr>
            </w:pPr>
          </w:p>
        </w:tc>
        <w:tc>
          <w:tcPr>
            <w:tcW w:w="992" w:type="dxa"/>
            <w:tcBorders>
              <w:bottom w:val="single" w:sz="4" w:space="0" w:color="auto"/>
            </w:tcBorders>
            <w:tcMar>
              <w:top w:w="28" w:type="dxa"/>
              <w:left w:w="28" w:type="dxa"/>
              <w:bottom w:w="28" w:type="dxa"/>
              <w:right w:w="28" w:type="dxa"/>
            </w:tcMar>
          </w:tcPr>
          <w:p w:rsidR="00B0443C" w:rsidRPr="000851A6" w:rsidRDefault="00B0443C" w:rsidP="00B0443C">
            <w:pPr>
              <w:pStyle w:val="ListParagraph"/>
              <w:spacing w:after="0"/>
              <w:ind w:left="0"/>
              <w:jc w:val="center"/>
              <w:rPr>
                <w:rFonts w:eastAsiaTheme="minorEastAsia"/>
                <w:sz w:val="18"/>
                <w:szCs w:val="18"/>
              </w:rPr>
            </w:pPr>
          </w:p>
        </w:tc>
        <w:tc>
          <w:tcPr>
            <w:tcW w:w="993" w:type="dxa"/>
            <w:tcBorders>
              <w:bottom w:val="single" w:sz="4" w:space="0" w:color="auto"/>
            </w:tcBorders>
            <w:tcMar>
              <w:top w:w="28" w:type="dxa"/>
              <w:left w:w="28" w:type="dxa"/>
              <w:bottom w:w="28" w:type="dxa"/>
              <w:right w:w="28" w:type="dxa"/>
            </w:tcMar>
          </w:tcPr>
          <w:p w:rsidR="00B0443C" w:rsidRPr="000851A6" w:rsidRDefault="00B0443C" w:rsidP="00B0443C">
            <w:pPr>
              <w:pStyle w:val="ListParagraph"/>
              <w:spacing w:after="0"/>
              <w:ind w:left="0"/>
              <w:jc w:val="center"/>
              <w:rPr>
                <w:rFonts w:eastAsiaTheme="minorEastAsia"/>
                <w:sz w:val="18"/>
                <w:szCs w:val="18"/>
              </w:rPr>
            </w:pPr>
          </w:p>
        </w:tc>
        <w:tc>
          <w:tcPr>
            <w:tcW w:w="992" w:type="dxa"/>
            <w:tcBorders>
              <w:bottom w:val="single" w:sz="4" w:space="0" w:color="auto"/>
            </w:tcBorders>
            <w:tcMar>
              <w:top w:w="28" w:type="dxa"/>
              <w:left w:w="28" w:type="dxa"/>
              <w:bottom w:w="28" w:type="dxa"/>
              <w:right w:w="28" w:type="dxa"/>
            </w:tcMar>
          </w:tcPr>
          <w:p w:rsidR="00B0443C" w:rsidRPr="000851A6" w:rsidRDefault="00B0443C" w:rsidP="00B0443C">
            <w:pPr>
              <w:pStyle w:val="ListParagraph"/>
              <w:spacing w:after="0"/>
              <w:ind w:left="0"/>
              <w:jc w:val="center"/>
              <w:rPr>
                <w:rFonts w:eastAsiaTheme="minorEastAsia"/>
                <w:sz w:val="18"/>
                <w:szCs w:val="18"/>
              </w:rPr>
            </w:pPr>
          </w:p>
        </w:tc>
      </w:tr>
      <w:tr w:rsidR="000851A6" w:rsidTr="000851A6">
        <w:tc>
          <w:tcPr>
            <w:tcW w:w="1730" w:type="dxa"/>
            <w:tcBorders>
              <w:bottom w:val="single" w:sz="4" w:space="0" w:color="auto"/>
            </w:tcBorders>
            <w:tcMar>
              <w:top w:w="28" w:type="dxa"/>
              <w:left w:w="28" w:type="dxa"/>
              <w:bottom w:w="28" w:type="dxa"/>
              <w:right w:w="28" w:type="dxa"/>
            </w:tcMar>
            <w:vAlign w:val="center"/>
          </w:tcPr>
          <w:p w:rsidR="000851A6" w:rsidRPr="000851A6" w:rsidRDefault="000851A6" w:rsidP="005C7935">
            <w:pPr>
              <w:pStyle w:val="ListParagraph"/>
              <w:spacing w:after="0"/>
              <w:ind w:left="0"/>
              <w:jc w:val="left"/>
              <w:rPr>
                <w:rFonts w:eastAsiaTheme="minorEastAsia"/>
                <w:sz w:val="18"/>
                <w:szCs w:val="18"/>
              </w:rPr>
            </w:pPr>
            <w:r w:rsidRPr="000851A6">
              <w:rPr>
                <w:rFonts w:eastAsiaTheme="minorEastAsia"/>
                <w:sz w:val="18"/>
                <w:szCs w:val="18"/>
              </w:rPr>
              <w:t>Class A5</w:t>
            </w:r>
          </w:p>
        </w:tc>
        <w:tc>
          <w:tcPr>
            <w:tcW w:w="993" w:type="dxa"/>
            <w:tcBorders>
              <w:bottom w:val="single" w:sz="4" w:space="0" w:color="auto"/>
            </w:tcBorders>
            <w:tcMar>
              <w:top w:w="28" w:type="dxa"/>
              <w:left w:w="28" w:type="dxa"/>
              <w:bottom w:w="28" w:type="dxa"/>
              <w:right w:w="28" w:type="dxa"/>
            </w:tcMar>
            <w:vAlign w:val="cente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69,246,000</w:t>
            </w:r>
          </w:p>
        </w:tc>
        <w:tc>
          <w:tcPr>
            <w:tcW w:w="883" w:type="dxa"/>
            <w:tcBorders>
              <w:bottom w:val="single" w:sz="4" w:space="0" w:color="auto"/>
            </w:tcBorders>
            <w:tcMar>
              <w:top w:w="28" w:type="dxa"/>
              <w:left w:w="28" w:type="dxa"/>
              <w:bottom w:w="28" w:type="dxa"/>
              <w:right w:w="28" w:type="dxa"/>
            </w:tcMa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16.64%</w:t>
            </w:r>
          </w:p>
        </w:tc>
        <w:tc>
          <w:tcPr>
            <w:tcW w:w="992" w:type="dxa"/>
            <w:tcBorders>
              <w:bottom w:val="single" w:sz="4" w:space="0" w:color="auto"/>
            </w:tcBorders>
            <w:tcMar>
              <w:top w:w="28" w:type="dxa"/>
              <w:left w:w="28" w:type="dxa"/>
              <w:bottom w:w="28" w:type="dxa"/>
              <w:right w:w="28" w:type="dxa"/>
            </w:tcMar>
            <w:vAlign w:val="cente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565,527</w:t>
            </w:r>
          </w:p>
        </w:tc>
        <w:tc>
          <w:tcPr>
            <w:tcW w:w="992" w:type="dxa"/>
            <w:tcBorders>
              <w:bottom w:val="single" w:sz="4" w:space="0" w:color="auto"/>
            </w:tcBorders>
            <w:tcMar>
              <w:top w:w="28" w:type="dxa"/>
              <w:left w:w="28" w:type="dxa"/>
              <w:bottom w:w="28" w:type="dxa"/>
              <w:right w:w="28" w:type="dxa"/>
            </w:tcMa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0.78%</w:t>
            </w:r>
          </w:p>
        </w:tc>
        <w:tc>
          <w:tcPr>
            <w:tcW w:w="992" w:type="dxa"/>
            <w:tcBorders>
              <w:bottom w:val="single" w:sz="4" w:space="0" w:color="auto"/>
            </w:tcBorders>
            <w:tcMar>
              <w:top w:w="28" w:type="dxa"/>
              <w:left w:w="28" w:type="dxa"/>
              <w:bottom w:w="28" w:type="dxa"/>
              <w:right w:w="28" w:type="dxa"/>
            </w:tcMar>
          </w:tcPr>
          <w:p w:rsidR="000851A6" w:rsidRPr="000851A6" w:rsidRDefault="006A42EA" w:rsidP="005C7935">
            <w:pPr>
              <w:pStyle w:val="ListParagraph"/>
              <w:spacing w:after="0"/>
              <w:ind w:left="0"/>
              <w:jc w:val="center"/>
              <w:rPr>
                <w:rFonts w:eastAsiaTheme="minorEastAsia"/>
                <w:sz w:val="18"/>
                <w:szCs w:val="18"/>
              </w:rPr>
            </w:pPr>
            <w:r>
              <w:rPr>
                <w:rFonts w:eastAsiaTheme="minorEastAsia"/>
                <w:sz w:val="18"/>
                <w:szCs w:val="18"/>
              </w:rPr>
              <w:t>0.79%</w:t>
            </w:r>
          </w:p>
        </w:tc>
        <w:tc>
          <w:tcPr>
            <w:tcW w:w="993" w:type="dxa"/>
            <w:tcBorders>
              <w:bottom w:val="single" w:sz="4" w:space="0" w:color="auto"/>
            </w:tcBorders>
            <w:tcMar>
              <w:top w:w="28" w:type="dxa"/>
              <w:left w:w="28" w:type="dxa"/>
              <w:bottom w:w="28" w:type="dxa"/>
              <w:right w:w="28" w:type="dxa"/>
            </w:tcMar>
          </w:tcPr>
          <w:p w:rsidR="000851A6" w:rsidRPr="000851A6" w:rsidRDefault="006A42EA" w:rsidP="005C7935">
            <w:pPr>
              <w:pStyle w:val="ListParagraph"/>
              <w:spacing w:after="0"/>
              <w:ind w:left="0"/>
              <w:jc w:val="center"/>
              <w:rPr>
                <w:rFonts w:eastAsiaTheme="minorEastAsia"/>
                <w:sz w:val="18"/>
                <w:szCs w:val="18"/>
              </w:rPr>
            </w:pPr>
            <w:r>
              <w:rPr>
                <w:rFonts w:eastAsiaTheme="minorEastAsia"/>
                <w:sz w:val="18"/>
                <w:szCs w:val="18"/>
              </w:rPr>
              <w:t>0.79%</w:t>
            </w:r>
          </w:p>
        </w:tc>
        <w:tc>
          <w:tcPr>
            <w:tcW w:w="992" w:type="dxa"/>
            <w:tcBorders>
              <w:bottom w:val="single" w:sz="4" w:space="0" w:color="auto"/>
            </w:tcBorders>
            <w:tcMar>
              <w:top w:w="28" w:type="dxa"/>
              <w:left w:w="28" w:type="dxa"/>
              <w:bottom w:w="28" w:type="dxa"/>
              <w:right w:w="28" w:type="dxa"/>
            </w:tcMar>
          </w:tcPr>
          <w:p w:rsidR="000851A6" w:rsidRPr="000851A6" w:rsidRDefault="006A42EA" w:rsidP="005C7935">
            <w:pPr>
              <w:pStyle w:val="ListParagraph"/>
              <w:spacing w:after="0"/>
              <w:ind w:left="0"/>
              <w:jc w:val="center"/>
              <w:rPr>
                <w:rFonts w:eastAsiaTheme="minorEastAsia"/>
                <w:sz w:val="18"/>
                <w:szCs w:val="18"/>
              </w:rPr>
            </w:pPr>
            <w:r>
              <w:rPr>
                <w:rFonts w:eastAsiaTheme="minorEastAsia"/>
                <w:sz w:val="18"/>
                <w:szCs w:val="18"/>
              </w:rPr>
              <w:t>5.62%</w:t>
            </w:r>
          </w:p>
        </w:tc>
      </w:tr>
      <w:tr w:rsidR="000851A6" w:rsidTr="000851A6">
        <w:tc>
          <w:tcPr>
            <w:tcW w:w="1730" w:type="dxa"/>
            <w:tcBorders>
              <w:bottom w:val="single" w:sz="4" w:space="0" w:color="auto"/>
            </w:tcBorders>
            <w:tcMar>
              <w:top w:w="28" w:type="dxa"/>
              <w:left w:w="28" w:type="dxa"/>
              <w:bottom w:w="28" w:type="dxa"/>
              <w:right w:w="28" w:type="dxa"/>
            </w:tcMar>
            <w:vAlign w:val="center"/>
          </w:tcPr>
          <w:p w:rsidR="000851A6" w:rsidRPr="000851A6" w:rsidRDefault="000851A6" w:rsidP="005C7935">
            <w:pPr>
              <w:pStyle w:val="ListParagraph"/>
              <w:spacing w:after="0"/>
              <w:ind w:left="0"/>
              <w:jc w:val="left"/>
              <w:rPr>
                <w:rFonts w:eastAsiaTheme="minorEastAsia"/>
                <w:sz w:val="18"/>
                <w:szCs w:val="18"/>
              </w:rPr>
            </w:pPr>
            <w:r w:rsidRPr="000851A6">
              <w:rPr>
                <w:rFonts w:eastAsiaTheme="minorEastAsia"/>
                <w:sz w:val="18"/>
                <w:szCs w:val="18"/>
              </w:rPr>
              <w:t>Class A6</w:t>
            </w:r>
          </w:p>
        </w:tc>
        <w:tc>
          <w:tcPr>
            <w:tcW w:w="993" w:type="dxa"/>
            <w:tcBorders>
              <w:bottom w:val="single" w:sz="4" w:space="0" w:color="auto"/>
            </w:tcBorders>
            <w:tcMar>
              <w:top w:w="28" w:type="dxa"/>
              <w:left w:w="28" w:type="dxa"/>
              <w:bottom w:w="28" w:type="dxa"/>
              <w:right w:w="28" w:type="dxa"/>
            </w:tcMar>
            <w:vAlign w:val="cente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20,000,000</w:t>
            </w:r>
          </w:p>
        </w:tc>
        <w:tc>
          <w:tcPr>
            <w:tcW w:w="883" w:type="dxa"/>
            <w:tcBorders>
              <w:bottom w:val="single" w:sz="4" w:space="0" w:color="auto"/>
            </w:tcBorders>
            <w:tcMar>
              <w:top w:w="28" w:type="dxa"/>
              <w:left w:w="28" w:type="dxa"/>
              <w:bottom w:w="28" w:type="dxa"/>
              <w:right w:w="28" w:type="dxa"/>
            </w:tcMa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4.81%</w:t>
            </w:r>
          </w:p>
        </w:tc>
        <w:tc>
          <w:tcPr>
            <w:tcW w:w="992" w:type="dxa"/>
            <w:tcBorders>
              <w:bottom w:val="single" w:sz="4" w:space="0" w:color="auto"/>
            </w:tcBorders>
            <w:tcMar>
              <w:top w:w="28" w:type="dxa"/>
              <w:left w:w="28" w:type="dxa"/>
              <w:bottom w:w="28" w:type="dxa"/>
              <w:right w:w="28" w:type="dxa"/>
            </w:tcMar>
            <w:vAlign w:val="cente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2,722,129</w:t>
            </w:r>
          </w:p>
        </w:tc>
        <w:tc>
          <w:tcPr>
            <w:tcW w:w="992" w:type="dxa"/>
            <w:tcBorders>
              <w:bottom w:val="single" w:sz="4" w:space="0" w:color="auto"/>
            </w:tcBorders>
            <w:tcMar>
              <w:top w:w="28" w:type="dxa"/>
              <w:left w:w="28" w:type="dxa"/>
              <w:bottom w:w="28" w:type="dxa"/>
              <w:right w:w="28" w:type="dxa"/>
            </w:tcMa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3.77%</w:t>
            </w:r>
          </w:p>
        </w:tc>
        <w:tc>
          <w:tcPr>
            <w:tcW w:w="992" w:type="dxa"/>
            <w:tcBorders>
              <w:bottom w:val="single" w:sz="4" w:space="0" w:color="auto"/>
            </w:tcBorders>
            <w:tcMar>
              <w:top w:w="28" w:type="dxa"/>
              <w:left w:w="28" w:type="dxa"/>
              <w:bottom w:w="28" w:type="dxa"/>
              <w:right w:w="28" w:type="dxa"/>
            </w:tcMar>
          </w:tcPr>
          <w:p w:rsidR="000851A6" w:rsidRPr="000851A6" w:rsidRDefault="006A42EA" w:rsidP="005C7935">
            <w:pPr>
              <w:pStyle w:val="ListParagraph"/>
              <w:spacing w:after="0"/>
              <w:ind w:left="0"/>
              <w:jc w:val="center"/>
              <w:rPr>
                <w:rFonts w:eastAsiaTheme="minorEastAsia"/>
                <w:sz w:val="18"/>
                <w:szCs w:val="18"/>
              </w:rPr>
            </w:pPr>
            <w:r>
              <w:rPr>
                <w:rFonts w:eastAsiaTheme="minorEastAsia"/>
                <w:sz w:val="18"/>
                <w:szCs w:val="18"/>
              </w:rPr>
              <w:t>3.78%</w:t>
            </w:r>
          </w:p>
        </w:tc>
        <w:tc>
          <w:tcPr>
            <w:tcW w:w="993" w:type="dxa"/>
            <w:tcBorders>
              <w:bottom w:val="single" w:sz="4" w:space="0" w:color="auto"/>
            </w:tcBorders>
            <w:tcMar>
              <w:top w:w="28" w:type="dxa"/>
              <w:left w:w="28" w:type="dxa"/>
              <w:bottom w:w="28" w:type="dxa"/>
              <w:right w:w="28" w:type="dxa"/>
            </w:tcMar>
          </w:tcPr>
          <w:p w:rsidR="000851A6" w:rsidRPr="000851A6" w:rsidRDefault="006A42EA" w:rsidP="005C7935">
            <w:pPr>
              <w:pStyle w:val="ListParagraph"/>
              <w:spacing w:after="0"/>
              <w:ind w:left="0"/>
              <w:jc w:val="center"/>
              <w:rPr>
                <w:rFonts w:eastAsiaTheme="minorEastAsia"/>
                <w:sz w:val="18"/>
                <w:szCs w:val="18"/>
              </w:rPr>
            </w:pPr>
            <w:r>
              <w:rPr>
                <w:rFonts w:eastAsiaTheme="minorEastAsia"/>
                <w:sz w:val="18"/>
                <w:szCs w:val="18"/>
              </w:rPr>
              <w:t>3.80%</w:t>
            </w:r>
          </w:p>
        </w:tc>
        <w:tc>
          <w:tcPr>
            <w:tcW w:w="992" w:type="dxa"/>
            <w:tcBorders>
              <w:bottom w:val="single" w:sz="4" w:space="0" w:color="auto"/>
            </w:tcBorders>
            <w:tcMar>
              <w:top w:w="28" w:type="dxa"/>
              <w:left w:w="28" w:type="dxa"/>
              <w:bottom w:w="28" w:type="dxa"/>
              <w:right w:w="28" w:type="dxa"/>
            </w:tcMar>
          </w:tcPr>
          <w:p w:rsidR="000851A6" w:rsidRPr="000851A6" w:rsidRDefault="006A42EA" w:rsidP="005C7935">
            <w:pPr>
              <w:pStyle w:val="ListParagraph"/>
              <w:spacing w:after="0"/>
              <w:ind w:left="0"/>
              <w:jc w:val="center"/>
              <w:rPr>
                <w:rFonts w:eastAsiaTheme="minorEastAsia"/>
                <w:sz w:val="18"/>
                <w:szCs w:val="18"/>
              </w:rPr>
            </w:pPr>
            <w:r>
              <w:rPr>
                <w:rFonts w:eastAsiaTheme="minorEastAsia"/>
                <w:sz w:val="18"/>
                <w:szCs w:val="18"/>
              </w:rPr>
              <w:t>5.87%</w:t>
            </w:r>
          </w:p>
        </w:tc>
      </w:tr>
      <w:tr w:rsidR="000851A6" w:rsidTr="000851A6">
        <w:tc>
          <w:tcPr>
            <w:tcW w:w="1730" w:type="dxa"/>
            <w:tcBorders>
              <w:bottom w:val="single" w:sz="4" w:space="0" w:color="auto"/>
            </w:tcBorders>
            <w:tcMar>
              <w:top w:w="28" w:type="dxa"/>
              <w:left w:w="28" w:type="dxa"/>
              <w:bottom w:w="28" w:type="dxa"/>
              <w:right w:w="28" w:type="dxa"/>
            </w:tcMar>
            <w:vAlign w:val="center"/>
          </w:tcPr>
          <w:p w:rsidR="000851A6" w:rsidRPr="000851A6" w:rsidRDefault="000851A6" w:rsidP="005C7935">
            <w:pPr>
              <w:pStyle w:val="ListParagraph"/>
              <w:spacing w:after="0"/>
              <w:ind w:left="0"/>
              <w:jc w:val="left"/>
              <w:rPr>
                <w:rFonts w:eastAsiaTheme="minorEastAsia"/>
                <w:sz w:val="18"/>
                <w:szCs w:val="18"/>
              </w:rPr>
            </w:pPr>
            <w:r w:rsidRPr="000851A6">
              <w:rPr>
                <w:rFonts w:eastAsiaTheme="minorEastAsia"/>
                <w:sz w:val="18"/>
                <w:szCs w:val="18"/>
              </w:rPr>
              <w:t>Class A7</w:t>
            </w:r>
          </w:p>
        </w:tc>
        <w:tc>
          <w:tcPr>
            <w:tcW w:w="993" w:type="dxa"/>
            <w:tcBorders>
              <w:bottom w:val="single" w:sz="4" w:space="0" w:color="auto"/>
            </w:tcBorders>
            <w:tcMar>
              <w:top w:w="28" w:type="dxa"/>
              <w:left w:w="28" w:type="dxa"/>
              <w:bottom w:w="28" w:type="dxa"/>
              <w:right w:w="28" w:type="dxa"/>
            </w:tcMar>
            <w:vAlign w:val="cente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49,528,000</w:t>
            </w:r>
          </w:p>
        </w:tc>
        <w:tc>
          <w:tcPr>
            <w:tcW w:w="883" w:type="dxa"/>
            <w:tcBorders>
              <w:bottom w:val="single" w:sz="4" w:space="0" w:color="auto"/>
            </w:tcBorders>
            <w:tcMar>
              <w:top w:w="28" w:type="dxa"/>
              <w:left w:w="28" w:type="dxa"/>
              <w:bottom w:w="28" w:type="dxa"/>
              <w:right w:w="28" w:type="dxa"/>
            </w:tcMa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11.90%</w:t>
            </w:r>
          </w:p>
        </w:tc>
        <w:tc>
          <w:tcPr>
            <w:tcW w:w="992" w:type="dxa"/>
            <w:tcBorders>
              <w:bottom w:val="single" w:sz="4" w:space="0" w:color="auto"/>
            </w:tcBorders>
            <w:tcMar>
              <w:top w:w="28" w:type="dxa"/>
              <w:left w:w="28" w:type="dxa"/>
              <w:bottom w:w="28" w:type="dxa"/>
              <w:right w:w="28" w:type="dxa"/>
            </w:tcMar>
            <w:vAlign w:val="cente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17,972,954</w:t>
            </w:r>
          </w:p>
        </w:tc>
        <w:tc>
          <w:tcPr>
            <w:tcW w:w="992" w:type="dxa"/>
            <w:tcBorders>
              <w:bottom w:val="single" w:sz="4" w:space="0" w:color="auto"/>
            </w:tcBorders>
            <w:tcMar>
              <w:top w:w="28" w:type="dxa"/>
              <w:left w:w="28" w:type="dxa"/>
              <w:bottom w:w="28" w:type="dxa"/>
              <w:right w:w="28" w:type="dxa"/>
            </w:tcMa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24.86%</w:t>
            </w:r>
          </w:p>
        </w:tc>
        <w:tc>
          <w:tcPr>
            <w:tcW w:w="992" w:type="dxa"/>
            <w:tcBorders>
              <w:bottom w:val="single" w:sz="4" w:space="0" w:color="auto"/>
            </w:tcBorders>
            <w:tcMar>
              <w:top w:w="28" w:type="dxa"/>
              <w:left w:w="28" w:type="dxa"/>
              <w:bottom w:w="28" w:type="dxa"/>
              <w:right w:w="28" w:type="dxa"/>
            </w:tcMar>
          </w:tcPr>
          <w:p w:rsidR="000851A6" w:rsidRPr="000851A6" w:rsidRDefault="006A42EA" w:rsidP="005C7935">
            <w:pPr>
              <w:pStyle w:val="ListParagraph"/>
              <w:spacing w:after="0"/>
              <w:ind w:left="0"/>
              <w:jc w:val="center"/>
              <w:rPr>
                <w:rFonts w:eastAsiaTheme="minorEastAsia"/>
                <w:sz w:val="18"/>
                <w:szCs w:val="18"/>
              </w:rPr>
            </w:pPr>
            <w:r>
              <w:rPr>
                <w:rFonts w:eastAsiaTheme="minorEastAsia"/>
                <w:sz w:val="18"/>
                <w:szCs w:val="18"/>
              </w:rPr>
              <w:t>24.99%</w:t>
            </w:r>
          </w:p>
        </w:tc>
        <w:tc>
          <w:tcPr>
            <w:tcW w:w="993" w:type="dxa"/>
            <w:tcBorders>
              <w:bottom w:val="single" w:sz="4" w:space="0" w:color="auto"/>
            </w:tcBorders>
            <w:tcMar>
              <w:top w:w="28" w:type="dxa"/>
              <w:left w:w="28" w:type="dxa"/>
              <w:bottom w:w="28" w:type="dxa"/>
              <w:right w:w="28" w:type="dxa"/>
            </w:tcMar>
          </w:tcPr>
          <w:p w:rsidR="000851A6" w:rsidRPr="000851A6" w:rsidRDefault="006A42EA" w:rsidP="005C7935">
            <w:pPr>
              <w:pStyle w:val="ListParagraph"/>
              <w:spacing w:after="0"/>
              <w:ind w:left="0"/>
              <w:jc w:val="center"/>
              <w:rPr>
                <w:rFonts w:eastAsiaTheme="minorEastAsia"/>
                <w:sz w:val="18"/>
                <w:szCs w:val="18"/>
              </w:rPr>
            </w:pPr>
            <w:r>
              <w:rPr>
                <w:rFonts w:eastAsiaTheme="minorEastAsia"/>
                <w:sz w:val="18"/>
                <w:szCs w:val="18"/>
              </w:rPr>
              <w:t>25.12%</w:t>
            </w:r>
          </w:p>
        </w:tc>
        <w:tc>
          <w:tcPr>
            <w:tcW w:w="992" w:type="dxa"/>
            <w:tcBorders>
              <w:bottom w:val="single" w:sz="4" w:space="0" w:color="auto"/>
            </w:tcBorders>
            <w:tcMar>
              <w:top w:w="28" w:type="dxa"/>
              <w:left w:w="28" w:type="dxa"/>
              <w:bottom w:w="28" w:type="dxa"/>
              <w:right w:w="28" w:type="dxa"/>
            </w:tcMar>
          </w:tcPr>
          <w:p w:rsidR="000851A6" w:rsidRPr="000851A6" w:rsidRDefault="006A42EA" w:rsidP="005C7935">
            <w:pPr>
              <w:pStyle w:val="ListParagraph"/>
              <w:spacing w:after="0"/>
              <w:ind w:left="0"/>
              <w:jc w:val="center"/>
              <w:rPr>
                <w:rFonts w:eastAsiaTheme="minorEastAsia"/>
                <w:sz w:val="18"/>
                <w:szCs w:val="18"/>
              </w:rPr>
            </w:pPr>
            <w:r>
              <w:rPr>
                <w:rFonts w:eastAsiaTheme="minorEastAsia"/>
                <w:sz w:val="18"/>
                <w:szCs w:val="18"/>
              </w:rPr>
              <w:t>5.62%</w:t>
            </w:r>
          </w:p>
        </w:tc>
      </w:tr>
      <w:tr w:rsidR="00BB4558" w:rsidTr="000851A6">
        <w:tc>
          <w:tcPr>
            <w:tcW w:w="1730" w:type="dxa"/>
            <w:tcBorders>
              <w:bottom w:val="single" w:sz="4" w:space="0" w:color="auto"/>
            </w:tcBorders>
            <w:tcMar>
              <w:top w:w="28" w:type="dxa"/>
              <w:left w:w="28" w:type="dxa"/>
              <w:bottom w:w="28" w:type="dxa"/>
              <w:right w:w="28" w:type="dxa"/>
            </w:tcMar>
            <w:vAlign w:val="center"/>
          </w:tcPr>
          <w:p w:rsidR="00BB4558" w:rsidRPr="000851A6" w:rsidRDefault="00BB4558" w:rsidP="00BB4558">
            <w:pPr>
              <w:pStyle w:val="ListParagraph"/>
              <w:spacing w:after="0"/>
              <w:ind w:left="0"/>
              <w:jc w:val="left"/>
              <w:rPr>
                <w:rFonts w:eastAsiaTheme="minorEastAsia"/>
                <w:sz w:val="18"/>
                <w:szCs w:val="18"/>
              </w:rPr>
            </w:pPr>
            <w:r>
              <w:rPr>
                <w:rFonts w:eastAsiaTheme="minorEastAsia"/>
                <w:sz w:val="18"/>
                <w:szCs w:val="18"/>
              </w:rPr>
              <w:t>Class A9</w:t>
            </w:r>
          </w:p>
        </w:tc>
        <w:tc>
          <w:tcPr>
            <w:tcW w:w="993" w:type="dxa"/>
            <w:tcBorders>
              <w:bottom w:val="single" w:sz="4" w:space="0" w:color="auto"/>
            </w:tcBorders>
            <w:tcMar>
              <w:top w:w="28" w:type="dxa"/>
              <w:left w:w="28" w:type="dxa"/>
              <w:bottom w:w="28" w:type="dxa"/>
              <w:right w:w="28" w:type="dxa"/>
            </w:tcMar>
            <w:vAlign w:val="center"/>
          </w:tcPr>
          <w:p w:rsidR="00BB4558" w:rsidRPr="000851A6" w:rsidRDefault="00BB4558" w:rsidP="00BB4558">
            <w:pPr>
              <w:pStyle w:val="ListParagraph"/>
              <w:spacing w:after="0"/>
              <w:ind w:left="0"/>
              <w:jc w:val="center"/>
              <w:rPr>
                <w:rFonts w:eastAsiaTheme="minorEastAsia"/>
                <w:sz w:val="18"/>
                <w:szCs w:val="18"/>
              </w:rPr>
            </w:pPr>
            <w:r w:rsidRPr="000851A6">
              <w:rPr>
                <w:rFonts w:eastAsiaTheme="minorEastAsia"/>
                <w:sz w:val="18"/>
                <w:szCs w:val="18"/>
              </w:rPr>
              <w:t>25,656,000</w:t>
            </w:r>
          </w:p>
        </w:tc>
        <w:tc>
          <w:tcPr>
            <w:tcW w:w="883" w:type="dxa"/>
            <w:tcBorders>
              <w:bottom w:val="single" w:sz="4" w:space="0" w:color="auto"/>
            </w:tcBorders>
            <w:tcMar>
              <w:top w:w="28" w:type="dxa"/>
              <w:left w:w="28" w:type="dxa"/>
              <w:bottom w:w="28" w:type="dxa"/>
              <w:right w:w="28" w:type="dxa"/>
            </w:tcMar>
          </w:tcPr>
          <w:p w:rsidR="00BB4558" w:rsidRPr="000851A6" w:rsidRDefault="00BB4558" w:rsidP="00BB4558">
            <w:pPr>
              <w:pStyle w:val="ListParagraph"/>
              <w:spacing w:after="0"/>
              <w:ind w:left="0"/>
              <w:jc w:val="center"/>
              <w:rPr>
                <w:rFonts w:eastAsiaTheme="minorEastAsia"/>
                <w:sz w:val="18"/>
                <w:szCs w:val="18"/>
              </w:rPr>
            </w:pPr>
            <w:r w:rsidRPr="000851A6">
              <w:rPr>
                <w:rFonts w:eastAsiaTheme="minorEastAsia"/>
                <w:sz w:val="18"/>
                <w:szCs w:val="18"/>
              </w:rPr>
              <w:t>6.17%</w:t>
            </w:r>
          </w:p>
        </w:tc>
        <w:tc>
          <w:tcPr>
            <w:tcW w:w="992" w:type="dxa"/>
            <w:tcBorders>
              <w:bottom w:val="single" w:sz="4" w:space="0" w:color="auto"/>
            </w:tcBorders>
            <w:tcMar>
              <w:top w:w="28" w:type="dxa"/>
              <w:left w:w="28" w:type="dxa"/>
              <w:bottom w:w="28" w:type="dxa"/>
              <w:right w:w="28" w:type="dxa"/>
            </w:tcMar>
            <w:vAlign w:val="center"/>
          </w:tcPr>
          <w:p w:rsidR="00BB4558" w:rsidRPr="000851A6" w:rsidRDefault="00BB4558" w:rsidP="00BB4558">
            <w:pPr>
              <w:pStyle w:val="ListParagraph"/>
              <w:spacing w:after="0"/>
              <w:ind w:left="0"/>
              <w:jc w:val="center"/>
              <w:rPr>
                <w:rFonts w:eastAsiaTheme="minorEastAsia"/>
                <w:sz w:val="18"/>
                <w:szCs w:val="18"/>
              </w:rPr>
            </w:pPr>
            <w:r>
              <w:rPr>
                <w:rFonts w:eastAsiaTheme="minorEastAsia"/>
                <w:sz w:val="18"/>
                <w:szCs w:val="18"/>
              </w:rPr>
              <w:t>0</w:t>
            </w:r>
          </w:p>
        </w:tc>
        <w:tc>
          <w:tcPr>
            <w:tcW w:w="992" w:type="dxa"/>
            <w:tcBorders>
              <w:bottom w:val="single" w:sz="4" w:space="0" w:color="auto"/>
            </w:tcBorders>
            <w:tcMar>
              <w:top w:w="28" w:type="dxa"/>
              <w:left w:w="28" w:type="dxa"/>
              <w:bottom w:w="28" w:type="dxa"/>
              <w:right w:w="28" w:type="dxa"/>
            </w:tcMar>
          </w:tcPr>
          <w:p w:rsidR="00BB4558" w:rsidRPr="000851A6" w:rsidRDefault="00BB4558" w:rsidP="00BB4558">
            <w:pPr>
              <w:pStyle w:val="ListParagraph"/>
              <w:spacing w:after="0"/>
              <w:ind w:left="0"/>
              <w:jc w:val="center"/>
              <w:rPr>
                <w:rFonts w:eastAsiaTheme="minorEastAsia"/>
                <w:sz w:val="18"/>
                <w:szCs w:val="18"/>
              </w:rPr>
            </w:pPr>
          </w:p>
        </w:tc>
        <w:tc>
          <w:tcPr>
            <w:tcW w:w="992" w:type="dxa"/>
            <w:tcBorders>
              <w:bottom w:val="single" w:sz="4" w:space="0" w:color="auto"/>
            </w:tcBorders>
            <w:tcMar>
              <w:top w:w="28" w:type="dxa"/>
              <w:left w:w="28" w:type="dxa"/>
              <w:bottom w:w="28" w:type="dxa"/>
              <w:right w:w="28" w:type="dxa"/>
            </w:tcMar>
          </w:tcPr>
          <w:p w:rsidR="00BB4558" w:rsidRDefault="00BB4558" w:rsidP="00BB4558">
            <w:pPr>
              <w:pStyle w:val="ListParagraph"/>
              <w:spacing w:after="0"/>
              <w:ind w:left="0"/>
              <w:jc w:val="center"/>
              <w:rPr>
                <w:rFonts w:eastAsiaTheme="minorEastAsia"/>
                <w:sz w:val="18"/>
                <w:szCs w:val="18"/>
              </w:rPr>
            </w:pPr>
          </w:p>
        </w:tc>
        <w:tc>
          <w:tcPr>
            <w:tcW w:w="993" w:type="dxa"/>
            <w:tcBorders>
              <w:bottom w:val="single" w:sz="4" w:space="0" w:color="auto"/>
            </w:tcBorders>
            <w:tcMar>
              <w:top w:w="28" w:type="dxa"/>
              <w:left w:w="28" w:type="dxa"/>
              <w:bottom w:w="28" w:type="dxa"/>
              <w:right w:w="28" w:type="dxa"/>
            </w:tcMar>
          </w:tcPr>
          <w:p w:rsidR="00BB4558" w:rsidRDefault="00BB4558" w:rsidP="00BB4558">
            <w:pPr>
              <w:pStyle w:val="ListParagraph"/>
              <w:spacing w:after="0"/>
              <w:ind w:left="0"/>
              <w:jc w:val="center"/>
              <w:rPr>
                <w:rFonts w:eastAsiaTheme="minorEastAsia"/>
                <w:sz w:val="18"/>
                <w:szCs w:val="18"/>
              </w:rPr>
            </w:pPr>
          </w:p>
        </w:tc>
        <w:tc>
          <w:tcPr>
            <w:tcW w:w="992" w:type="dxa"/>
            <w:tcBorders>
              <w:bottom w:val="single" w:sz="4" w:space="0" w:color="auto"/>
            </w:tcBorders>
            <w:tcMar>
              <w:top w:w="28" w:type="dxa"/>
              <w:left w:w="28" w:type="dxa"/>
              <w:bottom w:w="28" w:type="dxa"/>
              <w:right w:w="28" w:type="dxa"/>
            </w:tcMar>
          </w:tcPr>
          <w:p w:rsidR="00BB4558" w:rsidRDefault="00BB4558" w:rsidP="00BB4558">
            <w:pPr>
              <w:pStyle w:val="ListParagraph"/>
              <w:spacing w:after="0"/>
              <w:ind w:left="0"/>
              <w:jc w:val="center"/>
              <w:rPr>
                <w:rFonts w:eastAsiaTheme="minorEastAsia"/>
                <w:sz w:val="18"/>
                <w:szCs w:val="18"/>
              </w:rPr>
            </w:pPr>
          </w:p>
        </w:tc>
      </w:tr>
      <w:tr w:rsidR="002A4665" w:rsidTr="00227CA7">
        <w:tc>
          <w:tcPr>
            <w:tcW w:w="1730" w:type="dxa"/>
            <w:tcBorders>
              <w:bottom w:val="single" w:sz="4" w:space="0" w:color="auto"/>
            </w:tcBorders>
            <w:tcMar>
              <w:top w:w="28" w:type="dxa"/>
              <w:left w:w="28" w:type="dxa"/>
              <w:bottom w:w="28" w:type="dxa"/>
              <w:right w:w="28" w:type="dxa"/>
            </w:tcMar>
            <w:vAlign w:val="center"/>
          </w:tcPr>
          <w:p w:rsidR="002A4665" w:rsidRPr="000851A6" w:rsidRDefault="002A4665" w:rsidP="002A4665">
            <w:pPr>
              <w:pStyle w:val="ListParagraph"/>
              <w:spacing w:after="0"/>
              <w:ind w:left="0"/>
              <w:jc w:val="left"/>
              <w:rPr>
                <w:rFonts w:eastAsiaTheme="minorEastAsia"/>
                <w:sz w:val="18"/>
                <w:szCs w:val="18"/>
              </w:rPr>
            </w:pPr>
            <w:r>
              <w:rPr>
                <w:rFonts w:eastAsiaTheme="minorEastAsia"/>
                <w:sz w:val="18"/>
                <w:szCs w:val="18"/>
              </w:rPr>
              <w:t>Class A10</w:t>
            </w:r>
          </w:p>
        </w:tc>
        <w:tc>
          <w:tcPr>
            <w:tcW w:w="993" w:type="dxa"/>
            <w:tcBorders>
              <w:bottom w:val="single" w:sz="4" w:space="0" w:color="auto"/>
            </w:tcBorders>
            <w:tcMar>
              <w:top w:w="28" w:type="dxa"/>
              <w:left w:w="28" w:type="dxa"/>
              <w:bottom w:w="28" w:type="dxa"/>
              <w:right w:w="28" w:type="dxa"/>
            </w:tcMar>
            <w:vAlign w:val="center"/>
          </w:tcPr>
          <w:p w:rsidR="002A4665" w:rsidRPr="000851A6" w:rsidRDefault="002A4665" w:rsidP="002A4665">
            <w:pPr>
              <w:pStyle w:val="ListParagraph"/>
              <w:spacing w:after="0"/>
              <w:ind w:left="0"/>
              <w:jc w:val="center"/>
              <w:rPr>
                <w:rFonts w:eastAsiaTheme="minorEastAsia"/>
                <w:sz w:val="18"/>
                <w:szCs w:val="18"/>
              </w:rPr>
            </w:pPr>
            <w:r>
              <w:rPr>
                <w:rFonts w:eastAsiaTheme="minorEastAsia"/>
                <w:sz w:val="18"/>
                <w:szCs w:val="18"/>
              </w:rPr>
              <w:t>9,812,500</w:t>
            </w:r>
          </w:p>
        </w:tc>
        <w:tc>
          <w:tcPr>
            <w:tcW w:w="883" w:type="dxa"/>
            <w:tcBorders>
              <w:bottom w:val="single" w:sz="4" w:space="0" w:color="auto"/>
            </w:tcBorders>
            <w:tcMar>
              <w:top w:w="28" w:type="dxa"/>
              <w:left w:w="28" w:type="dxa"/>
              <w:bottom w:w="28" w:type="dxa"/>
              <w:right w:w="28" w:type="dxa"/>
            </w:tcMar>
          </w:tcPr>
          <w:p w:rsidR="002A4665" w:rsidRPr="000851A6" w:rsidRDefault="002A4665" w:rsidP="002A4665">
            <w:pPr>
              <w:pStyle w:val="ListParagraph"/>
              <w:spacing w:after="0"/>
              <w:ind w:left="0"/>
              <w:jc w:val="center"/>
              <w:rPr>
                <w:rFonts w:eastAsiaTheme="minorEastAsia"/>
                <w:sz w:val="18"/>
                <w:szCs w:val="18"/>
              </w:rPr>
            </w:pPr>
            <w:r>
              <w:rPr>
                <w:rFonts w:eastAsiaTheme="minorEastAsia"/>
                <w:sz w:val="18"/>
                <w:szCs w:val="18"/>
              </w:rPr>
              <w:t>2.36%</w:t>
            </w:r>
          </w:p>
        </w:tc>
        <w:tc>
          <w:tcPr>
            <w:tcW w:w="992" w:type="dxa"/>
            <w:tcBorders>
              <w:bottom w:val="single" w:sz="4" w:space="0" w:color="auto"/>
            </w:tcBorders>
            <w:tcMar>
              <w:top w:w="28" w:type="dxa"/>
              <w:left w:w="28" w:type="dxa"/>
              <w:bottom w:w="28" w:type="dxa"/>
              <w:right w:w="28" w:type="dxa"/>
            </w:tcMar>
            <w:vAlign w:val="center"/>
          </w:tcPr>
          <w:p w:rsidR="002A4665" w:rsidRDefault="002A4665" w:rsidP="002A4665">
            <w:pPr>
              <w:spacing w:after="0"/>
              <w:jc w:val="center"/>
              <w:rPr>
                <w:rFonts w:ascii="Calibri" w:hAnsi="Calibri" w:cs="Calibri"/>
                <w:color w:val="000000"/>
                <w:sz w:val="18"/>
                <w:szCs w:val="18"/>
              </w:rPr>
            </w:pPr>
            <w:r>
              <w:rPr>
                <w:rFonts w:ascii="Calibri" w:hAnsi="Calibri" w:cs="Calibri"/>
                <w:color w:val="000000"/>
                <w:sz w:val="18"/>
                <w:szCs w:val="18"/>
              </w:rPr>
              <w:t>2,848,599</w:t>
            </w:r>
          </w:p>
        </w:tc>
        <w:tc>
          <w:tcPr>
            <w:tcW w:w="992" w:type="dxa"/>
            <w:tcBorders>
              <w:bottom w:val="single" w:sz="4" w:space="0" w:color="auto"/>
            </w:tcBorders>
            <w:tcMar>
              <w:top w:w="28" w:type="dxa"/>
              <w:left w:w="28" w:type="dxa"/>
              <w:bottom w:w="28" w:type="dxa"/>
              <w:right w:w="28" w:type="dxa"/>
            </w:tcMar>
            <w:vAlign w:val="center"/>
          </w:tcPr>
          <w:p w:rsidR="002A4665" w:rsidRDefault="002A4665" w:rsidP="002A4665">
            <w:pPr>
              <w:spacing w:after="0"/>
              <w:jc w:val="center"/>
              <w:rPr>
                <w:rFonts w:ascii="Calibri" w:hAnsi="Calibri" w:cs="Calibri"/>
                <w:color w:val="000000"/>
                <w:sz w:val="18"/>
                <w:szCs w:val="18"/>
              </w:rPr>
            </w:pPr>
            <w:r>
              <w:rPr>
                <w:rFonts w:ascii="Calibri" w:hAnsi="Calibri" w:cs="Calibri"/>
                <w:color w:val="000000"/>
                <w:sz w:val="18"/>
                <w:szCs w:val="18"/>
              </w:rPr>
              <w:t>3.94%</w:t>
            </w:r>
          </w:p>
        </w:tc>
        <w:tc>
          <w:tcPr>
            <w:tcW w:w="992" w:type="dxa"/>
            <w:tcBorders>
              <w:bottom w:val="single" w:sz="4" w:space="0" w:color="auto"/>
            </w:tcBorders>
            <w:tcMar>
              <w:top w:w="28" w:type="dxa"/>
              <w:left w:w="28" w:type="dxa"/>
              <w:bottom w:w="28" w:type="dxa"/>
              <w:right w:w="28" w:type="dxa"/>
            </w:tcMar>
            <w:vAlign w:val="center"/>
          </w:tcPr>
          <w:p w:rsidR="002A4665" w:rsidRDefault="002A4665" w:rsidP="002A4665">
            <w:pPr>
              <w:spacing w:after="0"/>
              <w:jc w:val="center"/>
              <w:rPr>
                <w:rFonts w:ascii="Calibri" w:hAnsi="Calibri" w:cs="Calibri"/>
                <w:color w:val="000000"/>
                <w:sz w:val="18"/>
                <w:szCs w:val="18"/>
              </w:rPr>
            </w:pPr>
            <w:r>
              <w:rPr>
                <w:rFonts w:ascii="Calibri" w:hAnsi="Calibri" w:cs="Calibri"/>
                <w:color w:val="000000"/>
                <w:sz w:val="18"/>
                <w:szCs w:val="18"/>
              </w:rPr>
              <w:t>3.96%</w:t>
            </w:r>
          </w:p>
        </w:tc>
        <w:tc>
          <w:tcPr>
            <w:tcW w:w="993" w:type="dxa"/>
            <w:tcBorders>
              <w:bottom w:val="single" w:sz="4" w:space="0" w:color="auto"/>
            </w:tcBorders>
            <w:tcMar>
              <w:top w:w="28" w:type="dxa"/>
              <w:left w:w="28" w:type="dxa"/>
              <w:bottom w:w="28" w:type="dxa"/>
              <w:right w:w="28" w:type="dxa"/>
            </w:tcMar>
            <w:vAlign w:val="center"/>
          </w:tcPr>
          <w:p w:rsidR="002A4665" w:rsidRDefault="002A4665" w:rsidP="002A4665">
            <w:pPr>
              <w:spacing w:after="0"/>
              <w:jc w:val="center"/>
              <w:rPr>
                <w:rFonts w:ascii="Calibri" w:hAnsi="Calibri" w:cs="Calibri"/>
                <w:color w:val="000000"/>
                <w:sz w:val="18"/>
                <w:szCs w:val="18"/>
              </w:rPr>
            </w:pPr>
            <w:r>
              <w:rPr>
                <w:rFonts w:ascii="Calibri" w:hAnsi="Calibri" w:cs="Calibri"/>
                <w:color w:val="000000"/>
                <w:sz w:val="18"/>
                <w:szCs w:val="18"/>
              </w:rPr>
              <w:t>3.98%</w:t>
            </w:r>
          </w:p>
        </w:tc>
        <w:tc>
          <w:tcPr>
            <w:tcW w:w="992" w:type="dxa"/>
            <w:tcBorders>
              <w:bottom w:val="single" w:sz="4" w:space="0" w:color="auto"/>
            </w:tcBorders>
            <w:tcMar>
              <w:top w:w="28" w:type="dxa"/>
              <w:left w:w="28" w:type="dxa"/>
              <w:bottom w:w="28" w:type="dxa"/>
              <w:right w:w="28" w:type="dxa"/>
            </w:tcMar>
            <w:vAlign w:val="center"/>
          </w:tcPr>
          <w:p w:rsidR="002A4665" w:rsidRDefault="002A4665" w:rsidP="002A4665">
            <w:pPr>
              <w:spacing w:after="0"/>
              <w:jc w:val="center"/>
              <w:rPr>
                <w:rFonts w:ascii="Calibri" w:hAnsi="Calibri" w:cs="Calibri"/>
                <w:color w:val="000000"/>
                <w:sz w:val="18"/>
                <w:szCs w:val="18"/>
              </w:rPr>
            </w:pPr>
            <w:r>
              <w:rPr>
                <w:rFonts w:ascii="Calibri" w:hAnsi="Calibri" w:cs="Calibri"/>
                <w:color w:val="000000"/>
                <w:sz w:val="18"/>
                <w:szCs w:val="18"/>
              </w:rPr>
              <w:t>5.97%</w:t>
            </w:r>
          </w:p>
        </w:tc>
      </w:tr>
      <w:tr w:rsidR="002A4665" w:rsidTr="00227CA7">
        <w:tc>
          <w:tcPr>
            <w:tcW w:w="1730" w:type="dxa"/>
            <w:tcBorders>
              <w:bottom w:val="single" w:sz="4" w:space="0" w:color="auto"/>
            </w:tcBorders>
            <w:tcMar>
              <w:top w:w="28" w:type="dxa"/>
              <w:left w:w="28" w:type="dxa"/>
              <w:bottom w:w="28" w:type="dxa"/>
              <w:right w:w="28" w:type="dxa"/>
            </w:tcMar>
            <w:vAlign w:val="center"/>
          </w:tcPr>
          <w:p w:rsidR="002A4665" w:rsidRPr="000851A6" w:rsidRDefault="002A4665" w:rsidP="002A4665">
            <w:pPr>
              <w:pStyle w:val="ListParagraph"/>
              <w:spacing w:after="0"/>
              <w:ind w:left="0"/>
              <w:jc w:val="left"/>
              <w:rPr>
                <w:rFonts w:eastAsiaTheme="minorEastAsia"/>
                <w:sz w:val="18"/>
                <w:szCs w:val="18"/>
              </w:rPr>
            </w:pPr>
            <w:r>
              <w:rPr>
                <w:rFonts w:eastAsiaTheme="minorEastAsia"/>
                <w:sz w:val="18"/>
                <w:szCs w:val="18"/>
              </w:rPr>
              <w:t>Class A11</w:t>
            </w:r>
          </w:p>
        </w:tc>
        <w:tc>
          <w:tcPr>
            <w:tcW w:w="993" w:type="dxa"/>
            <w:tcBorders>
              <w:bottom w:val="single" w:sz="4" w:space="0" w:color="auto"/>
            </w:tcBorders>
            <w:tcMar>
              <w:top w:w="28" w:type="dxa"/>
              <w:left w:w="28" w:type="dxa"/>
              <w:bottom w:w="28" w:type="dxa"/>
              <w:right w:w="28" w:type="dxa"/>
            </w:tcMar>
            <w:vAlign w:val="center"/>
          </w:tcPr>
          <w:p w:rsidR="002A4665" w:rsidRPr="000851A6" w:rsidRDefault="002A4665" w:rsidP="002A4665">
            <w:pPr>
              <w:pStyle w:val="ListParagraph"/>
              <w:spacing w:after="0"/>
              <w:ind w:left="0"/>
              <w:jc w:val="center"/>
              <w:rPr>
                <w:rFonts w:eastAsiaTheme="minorEastAsia"/>
                <w:sz w:val="18"/>
                <w:szCs w:val="18"/>
              </w:rPr>
            </w:pPr>
            <w:r>
              <w:rPr>
                <w:rFonts w:eastAsiaTheme="minorEastAsia"/>
                <w:sz w:val="18"/>
                <w:szCs w:val="18"/>
              </w:rPr>
              <w:t>9,812,500</w:t>
            </w:r>
          </w:p>
        </w:tc>
        <w:tc>
          <w:tcPr>
            <w:tcW w:w="883" w:type="dxa"/>
            <w:tcBorders>
              <w:bottom w:val="single" w:sz="4" w:space="0" w:color="auto"/>
            </w:tcBorders>
            <w:tcMar>
              <w:top w:w="28" w:type="dxa"/>
              <w:left w:w="28" w:type="dxa"/>
              <w:bottom w:w="28" w:type="dxa"/>
              <w:right w:w="28" w:type="dxa"/>
            </w:tcMar>
          </w:tcPr>
          <w:p w:rsidR="002A4665" w:rsidRPr="000851A6" w:rsidRDefault="002A4665" w:rsidP="002A4665">
            <w:pPr>
              <w:pStyle w:val="ListParagraph"/>
              <w:spacing w:after="0"/>
              <w:ind w:left="0"/>
              <w:jc w:val="center"/>
              <w:rPr>
                <w:rFonts w:eastAsiaTheme="minorEastAsia"/>
                <w:sz w:val="18"/>
                <w:szCs w:val="18"/>
              </w:rPr>
            </w:pPr>
            <w:r>
              <w:rPr>
                <w:rFonts w:eastAsiaTheme="minorEastAsia"/>
                <w:sz w:val="18"/>
                <w:szCs w:val="18"/>
              </w:rPr>
              <w:t>2.36%</w:t>
            </w:r>
          </w:p>
        </w:tc>
        <w:tc>
          <w:tcPr>
            <w:tcW w:w="992" w:type="dxa"/>
            <w:tcBorders>
              <w:bottom w:val="single" w:sz="4" w:space="0" w:color="auto"/>
            </w:tcBorders>
            <w:tcMar>
              <w:top w:w="28" w:type="dxa"/>
              <w:left w:w="28" w:type="dxa"/>
              <w:bottom w:w="28" w:type="dxa"/>
              <w:right w:w="28" w:type="dxa"/>
            </w:tcMar>
            <w:vAlign w:val="center"/>
          </w:tcPr>
          <w:p w:rsidR="002A4665" w:rsidRDefault="002A4665" w:rsidP="002A4665">
            <w:pPr>
              <w:spacing w:after="0"/>
              <w:jc w:val="center"/>
              <w:rPr>
                <w:rFonts w:ascii="Calibri" w:hAnsi="Calibri" w:cs="Calibri"/>
                <w:color w:val="000000"/>
                <w:sz w:val="18"/>
                <w:szCs w:val="18"/>
              </w:rPr>
            </w:pPr>
            <w:r>
              <w:rPr>
                <w:rFonts w:ascii="Calibri" w:hAnsi="Calibri" w:cs="Calibri"/>
                <w:color w:val="000000"/>
                <w:sz w:val="18"/>
                <w:szCs w:val="18"/>
              </w:rPr>
              <w:t>2,877,618</w:t>
            </w:r>
          </w:p>
        </w:tc>
        <w:tc>
          <w:tcPr>
            <w:tcW w:w="992" w:type="dxa"/>
            <w:tcBorders>
              <w:bottom w:val="single" w:sz="4" w:space="0" w:color="auto"/>
            </w:tcBorders>
            <w:tcMar>
              <w:top w:w="28" w:type="dxa"/>
              <w:left w:w="28" w:type="dxa"/>
              <w:bottom w:w="28" w:type="dxa"/>
              <w:right w:w="28" w:type="dxa"/>
            </w:tcMar>
            <w:vAlign w:val="center"/>
          </w:tcPr>
          <w:p w:rsidR="002A4665" w:rsidRDefault="002A4665" w:rsidP="002A4665">
            <w:pPr>
              <w:spacing w:after="0"/>
              <w:jc w:val="center"/>
              <w:rPr>
                <w:rFonts w:ascii="Calibri" w:hAnsi="Calibri" w:cs="Calibri"/>
                <w:color w:val="000000"/>
                <w:sz w:val="18"/>
                <w:szCs w:val="18"/>
              </w:rPr>
            </w:pPr>
            <w:r>
              <w:rPr>
                <w:rFonts w:ascii="Calibri" w:hAnsi="Calibri" w:cs="Calibri"/>
                <w:color w:val="000000"/>
                <w:sz w:val="18"/>
                <w:szCs w:val="18"/>
              </w:rPr>
              <w:t>3.98%</w:t>
            </w:r>
          </w:p>
        </w:tc>
        <w:tc>
          <w:tcPr>
            <w:tcW w:w="992" w:type="dxa"/>
            <w:tcBorders>
              <w:bottom w:val="single" w:sz="4" w:space="0" w:color="auto"/>
            </w:tcBorders>
            <w:tcMar>
              <w:top w:w="28" w:type="dxa"/>
              <w:left w:w="28" w:type="dxa"/>
              <w:bottom w:w="28" w:type="dxa"/>
              <w:right w:w="28" w:type="dxa"/>
            </w:tcMar>
            <w:vAlign w:val="center"/>
          </w:tcPr>
          <w:p w:rsidR="002A4665" w:rsidRDefault="002A4665" w:rsidP="002A4665">
            <w:pPr>
              <w:spacing w:after="0"/>
              <w:jc w:val="center"/>
              <w:rPr>
                <w:rFonts w:ascii="Calibri" w:hAnsi="Calibri" w:cs="Calibri"/>
                <w:color w:val="000000"/>
                <w:sz w:val="18"/>
                <w:szCs w:val="18"/>
              </w:rPr>
            </w:pPr>
            <w:r>
              <w:rPr>
                <w:rFonts w:ascii="Calibri" w:hAnsi="Calibri" w:cs="Calibri"/>
                <w:color w:val="000000"/>
                <w:sz w:val="18"/>
                <w:szCs w:val="18"/>
              </w:rPr>
              <w:t>4.00%</w:t>
            </w:r>
          </w:p>
        </w:tc>
        <w:tc>
          <w:tcPr>
            <w:tcW w:w="993" w:type="dxa"/>
            <w:tcBorders>
              <w:bottom w:val="single" w:sz="4" w:space="0" w:color="auto"/>
            </w:tcBorders>
            <w:tcMar>
              <w:top w:w="28" w:type="dxa"/>
              <w:left w:w="28" w:type="dxa"/>
              <w:bottom w:w="28" w:type="dxa"/>
              <w:right w:w="28" w:type="dxa"/>
            </w:tcMar>
            <w:vAlign w:val="center"/>
          </w:tcPr>
          <w:p w:rsidR="002A4665" w:rsidRDefault="002A4665" w:rsidP="002A4665">
            <w:pPr>
              <w:spacing w:after="0"/>
              <w:jc w:val="center"/>
              <w:rPr>
                <w:rFonts w:ascii="Calibri" w:hAnsi="Calibri" w:cs="Calibri"/>
                <w:color w:val="000000"/>
                <w:sz w:val="18"/>
                <w:szCs w:val="18"/>
              </w:rPr>
            </w:pPr>
            <w:r>
              <w:rPr>
                <w:rFonts w:ascii="Calibri" w:hAnsi="Calibri" w:cs="Calibri"/>
                <w:color w:val="000000"/>
                <w:sz w:val="18"/>
                <w:szCs w:val="18"/>
              </w:rPr>
              <w:t>4.02%</w:t>
            </w:r>
          </w:p>
        </w:tc>
        <w:tc>
          <w:tcPr>
            <w:tcW w:w="992" w:type="dxa"/>
            <w:tcBorders>
              <w:bottom w:val="single" w:sz="4" w:space="0" w:color="auto"/>
            </w:tcBorders>
            <w:tcMar>
              <w:top w:w="28" w:type="dxa"/>
              <w:left w:w="28" w:type="dxa"/>
              <w:bottom w:w="28" w:type="dxa"/>
              <w:right w:w="28" w:type="dxa"/>
            </w:tcMar>
            <w:vAlign w:val="center"/>
          </w:tcPr>
          <w:p w:rsidR="002A4665" w:rsidRDefault="002A4665" w:rsidP="002A4665">
            <w:pPr>
              <w:spacing w:after="0"/>
              <w:jc w:val="center"/>
              <w:rPr>
                <w:rFonts w:ascii="Calibri" w:hAnsi="Calibri" w:cs="Calibri"/>
                <w:color w:val="000000"/>
                <w:sz w:val="18"/>
                <w:szCs w:val="18"/>
              </w:rPr>
            </w:pPr>
            <w:r>
              <w:rPr>
                <w:rFonts w:ascii="Calibri" w:hAnsi="Calibri" w:cs="Calibri"/>
                <w:color w:val="000000"/>
                <w:sz w:val="18"/>
                <w:szCs w:val="18"/>
              </w:rPr>
              <w:t>6.28%</w:t>
            </w:r>
          </w:p>
        </w:tc>
      </w:tr>
      <w:tr w:rsidR="002A4665" w:rsidTr="00227CA7">
        <w:tc>
          <w:tcPr>
            <w:tcW w:w="1730" w:type="dxa"/>
            <w:tcBorders>
              <w:bottom w:val="single" w:sz="4" w:space="0" w:color="auto"/>
            </w:tcBorders>
            <w:tcMar>
              <w:top w:w="28" w:type="dxa"/>
              <w:left w:w="28" w:type="dxa"/>
              <w:bottom w:w="28" w:type="dxa"/>
              <w:right w:w="28" w:type="dxa"/>
            </w:tcMar>
            <w:vAlign w:val="center"/>
          </w:tcPr>
          <w:p w:rsidR="002A4665" w:rsidRPr="000851A6" w:rsidRDefault="002A4665" w:rsidP="002A4665">
            <w:pPr>
              <w:pStyle w:val="ListParagraph"/>
              <w:spacing w:after="0"/>
              <w:ind w:left="0"/>
              <w:jc w:val="left"/>
              <w:rPr>
                <w:rFonts w:eastAsiaTheme="minorEastAsia"/>
                <w:sz w:val="18"/>
                <w:szCs w:val="18"/>
              </w:rPr>
            </w:pPr>
            <w:r>
              <w:rPr>
                <w:rFonts w:eastAsiaTheme="minorEastAsia"/>
                <w:sz w:val="18"/>
                <w:szCs w:val="18"/>
              </w:rPr>
              <w:t>Class A12</w:t>
            </w:r>
          </w:p>
        </w:tc>
        <w:tc>
          <w:tcPr>
            <w:tcW w:w="993" w:type="dxa"/>
            <w:tcBorders>
              <w:bottom w:val="single" w:sz="4" w:space="0" w:color="auto"/>
            </w:tcBorders>
            <w:tcMar>
              <w:top w:w="28" w:type="dxa"/>
              <w:left w:w="28" w:type="dxa"/>
              <w:bottom w:w="28" w:type="dxa"/>
              <w:right w:w="28" w:type="dxa"/>
            </w:tcMar>
            <w:vAlign w:val="center"/>
          </w:tcPr>
          <w:p w:rsidR="002A4665" w:rsidRPr="000851A6" w:rsidRDefault="002A4665" w:rsidP="002A4665">
            <w:pPr>
              <w:pStyle w:val="ListParagraph"/>
              <w:spacing w:after="0"/>
              <w:ind w:left="0"/>
              <w:jc w:val="center"/>
              <w:rPr>
                <w:rFonts w:eastAsiaTheme="minorEastAsia"/>
                <w:sz w:val="18"/>
                <w:szCs w:val="18"/>
              </w:rPr>
            </w:pPr>
            <w:r>
              <w:rPr>
                <w:rFonts w:eastAsiaTheme="minorEastAsia"/>
                <w:sz w:val="18"/>
                <w:szCs w:val="18"/>
              </w:rPr>
              <w:t>6,413,000</w:t>
            </w:r>
          </w:p>
        </w:tc>
        <w:tc>
          <w:tcPr>
            <w:tcW w:w="883" w:type="dxa"/>
            <w:tcBorders>
              <w:bottom w:val="single" w:sz="4" w:space="0" w:color="auto"/>
            </w:tcBorders>
            <w:tcMar>
              <w:top w:w="28" w:type="dxa"/>
              <w:left w:w="28" w:type="dxa"/>
              <w:bottom w:w="28" w:type="dxa"/>
              <w:right w:w="28" w:type="dxa"/>
            </w:tcMar>
          </w:tcPr>
          <w:p w:rsidR="002A4665" w:rsidRPr="000851A6" w:rsidRDefault="002A4665" w:rsidP="002A4665">
            <w:pPr>
              <w:pStyle w:val="ListParagraph"/>
              <w:spacing w:after="0"/>
              <w:ind w:left="0"/>
              <w:jc w:val="center"/>
              <w:rPr>
                <w:rFonts w:eastAsiaTheme="minorEastAsia"/>
                <w:sz w:val="18"/>
                <w:szCs w:val="18"/>
              </w:rPr>
            </w:pPr>
            <w:r>
              <w:rPr>
                <w:rFonts w:eastAsiaTheme="minorEastAsia"/>
                <w:sz w:val="18"/>
                <w:szCs w:val="18"/>
              </w:rPr>
              <w:t>1.54%</w:t>
            </w:r>
          </w:p>
        </w:tc>
        <w:tc>
          <w:tcPr>
            <w:tcW w:w="992" w:type="dxa"/>
            <w:tcBorders>
              <w:bottom w:val="single" w:sz="4" w:space="0" w:color="auto"/>
            </w:tcBorders>
            <w:tcMar>
              <w:top w:w="28" w:type="dxa"/>
              <w:left w:w="28" w:type="dxa"/>
              <w:bottom w:w="28" w:type="dxa"/>
              <w:right w:w="28" w:type="dxa"/>
            </w:tcMar>
            <w:vAlign w:val="center"/>
          </w:tcPr>
          <w:p w:rsidR="002A4665" w:rsidRDefault="002A4665" w:rsidP="002A4665">
            <w:pPr>
              <w:spacing w:after="0"/>
              <w:jc w:val="center"/>
              <w:rPr>
                <w:rFonts w:ascii="Calibri" w:hAnsi="Calibri" w:cs="Calibri"/>
                <w:color w:val="000000"/>
                <w:sz w:val="18"/>
                <w:szCs w:val="18"/>
              </w:rPr>
            </w:pPr>
            <w:r>
              <w:rPr>
                <w:rFonts w:ascii="Calibri" w:hAnsi="Calibri" w:cs="Calibri"/>
                <w:color w:val="000000"/>
                <w:sz w:val="18"/>
                <w:szCs w:val="18"/>
              </w:rPr>
              <w:t>1,861,714</w:t>
            </w:r>
          </w:p>
        </w:tc>
        <w:tc>
          <w:tcPr>
            <w:tcW w:w="992" w:type="dxa"/>
            <w:tcBorders>
              <w:bottom w:val="single" w:sz="4" w:space="0" w:color="auto"/>
            </w:tcBorders>
            <w:tcMar>
              <w:top w:w="28" w:type="dxa"/>
              <w:left w:w="28" w:type="dxa"/>
              <w:bottom w:w="28" w:type="dxa"/>
              <w:right w:w="28" w:type="dxa"/>
            </w:tcMar>
            <w:vAlign w:val="center"/>
          </w:tcPr>
          <w:p w:rsidR="002A4665" w:rsidRDefault="002A4665" w:rsidP="002A4665">
            <w:pPr>
              <w:spacing w:after="0"/>
              <w:jc w:val="center"/>
              <w:rPr>
                <w:rFonts w:ascii="Calibri" w:hAnsi="Calibri" w:cs="Calibri"/>
                <w:color w:val="000000"/>
                <w:sz w:val="18"/>
                <w:szCs w:val="18"/>
              </w:rPr>
            </w:pPr>
            <w:r>
              <w:rPr>
                <w:rFonts w:ascii="Calibri" w:hAnsi="Calibri" w:cs="Calibri"/>
                <w:color w:val="000000"/>
                <w:sz w:val="18"/>
                <w:szCs w:val="18"/>
              </w:rPr>
              <w:t>2.58%</w:t>
            </w:r>
          </w:p>
        </w:tc>
        <w:tc>
          <w:tcPr>
            <w:tcW w:w="992" w:type="dxa"/>
            <w:tcBorders>
              <w:bottom w:val="single" w:sz="4" w:space="0" w:color="auto"/>
            </w:tcBorders>
            <w:tcMar>
              <w:top w:w="28" w:type="dxa"/>
              <w:left w:w="28" w:type="dxa"/>
              <w:bottom w:w="28" w:type="dxa"/>
              <w:right w:w="28" w:type="dxa"/>
            </w:tcMar>
            <w:vAlign w:val="center"/>
          </w:tcPr>
          <w:p w:rsidR="002A4665" w:rsidRDefault="002A4665" w:rsidP="002A4665">
            <w:pPr>
              <w:spacing w:after="0"/>
              <w:jc w:val="center"/>
              <w:rPr>
                <w:rFonts w:ascii="Calibri" w:hAnsi="Calibri" w:cs="Calibri"/>
                <w:color w:val="000000"/>
                <w:sz w:val="18"/>
                <w:szCs w:val="18"/>
              </w:rPr>
            </w:pPr>
            <w:r>
              <w:rPr>
                <w:rFonts w:ascii="Calibri" w:hAnsi="Calibri" w:cs="Calibri"/>
                <w:color w:val="000000"/>
                <w:sz w:val="18"/>
                <w:szCs w:val="18"/>
              </w:rPr>
              <w:t>2.59%</w:t>
            </w:r>
          </w:p>
        </w:tc>
        <w:tc>
          <w:tcPr>
            <w:tcW w:w="993" w:type="dxa"/>
            <w:tcBorders>
              <w:bottom w:val="single" w:sz="4" w:space="0" w:color="auto"/>
            </w:tcBorders>
            <w:tcMar>
              <w:top w:w="28" w:type="dxa"/>
              <w:left w:w="28" w:type="dxa"/>
              <w:bottom w:w="28" w:type="dxa"/>
              <w:right w:w="28" w:type="dxa"/>
            </w:tcMar>
            <w:vAlign w:val="center"/>
          </w:tcPr>
          <w:p w:rsidR="002A4665" w:rsidRDefault="002A4665" w:rsidP="002A4665">
            <w:pPr>
              <w:spacing w:after="0"/>
              <w:jc w:val="center"/>
              <w:rPr>
                <w:rFonts w:ascii="Calibri" w:hAnsi="Calibri" w:cs="Calibri"/>
                <w:color w:val="000000"/>
                <w:sz w:val="18"/>
                <w:szCs w:val="18"/>
              </w:rPr>
            </w:pPr>
            <w:r>
              <w:rPr>
                <w:rFonts w:ascii="Calibri" w:hAnsi="Calibri" w:cs="Calibri"/>
                <w:color w:val="000000"/>
                <w:sz w:val="18"/>
                <w:szCs w:val="18"/>
              </w:rPr>
              <w:t>2.60%</w:t>
            </w:r>
          </w:p>
        </w:tc>
        <w:tc>
          <w:tcPr>
            <w:tcW w:w="992" w:type="dxa"/>
            <w:tcBorders>
              <w:bottom w:val="single" w:sz="4" w:space="0" w:color="auto"/>
            </w:tcBorders>
            <w:tcMar>
              <w:top w:w="28" w:type="dxa"/>
              <w:left w:w="28" w:type="dxa"/>
              <w:bottom w:w="28" w:type="dxa"/>
              <w:right w:w="28" w:type="dxa"/>
            </w:tcMar>
            <w:vAlign w:val="center"/>
          </w:tcPr>
          <w:p w:rsidR="002A4665" w:rsidRDefault="002A4665" w:rsidP="002A4665">
            <w:pPr>
              <w:spacing w:after="0"/>
              <w:jc w:val="center"/>
              <w:rPr>
                <w:rFonts w:ascii="Calibri" w:hAnsi="Calibri" w:cs="Calibri"/>
                <w:color w:val="000000"/>
                <w:sz w:val="18"/>
                <w:szCs w:val="18"/>
              </w:rPr>
            </w:pPr>
            <w:r>
              <w:rPr>
                <w:rFonts w:ascii="Calibri" w:hAnsi="Calibri" w:cs="Calibri"/>
                <w:color w:val="000000"/>
                <w:sz w:val="18"/>
                <w:szCs w:val="18"/>
              </w:rPr>
              <w:t>6.13%</w:t>
            </w:r>
          </w:p>
        </w:tc>
      </w:tr>
      <w:tr w:rsidR="000851A6" w:rsidTr="000851A6">
        <w:tc>
          <w:tcPr>
            <w:tcW w:w="1730" w:type="dxa"/>
            <w:tcBorders>
              <w:bottom w:val="single" w:sz="4" w:space="0" w:color="auto"/>
            </w:tcBorders>
            <w:tcMar>
              <w:top w:w="28" w:type="dxa"/>
              <w:left w:w="28" w:type="dxa"/>
              <w:bottom w:w="28" w:type="dxa"/>
              <w:right w:w="28" w:type="dxa"/>
            </w:tcMar>
            <w:vAlign w:val="center"/>
          </w:tcPr>
          <w:p w:rsidR="000851A6" w:rsidRPr="000851A6" w:rsidRDefault="000851A6" w:rsidP="005C7935">
            <w:pPr>
              <w:pStyle w:val="ListParagraph"/>
              <w:spacing w:after="0"/>
              <w:ind w:left="0"/>
              <w:jc w:val="left"/>
              <w:rPr>
                <w:rFonts w:eastAsiaTheme="minorEastAsia"/>
                <w:sz w:val="18"/>
                <w:szCs w:val="18"/>
              </w:rPr>
            </w:pPr>
            <w:r w:rsidRPr="000851A6">
              <w:rPr>
                <w:rFonts w:eastAsiaTheme="minorEastAsia"/>
                <w:sz w:val="18"/>
                <w:szCs w:val="18"/>
              </w:rPr>
              <w:t>Class A13</w:t>
            </w:r>
          </w:p>
        </w:tc>
        <w:tc>
          <w:tcPr>
            <w:tcW w:w="993" w:type="dxa"/>
            <w:tcBorders>
              <w:bottom w:val="single" w:sz="4" w:space="0" w:color="auto"/>
            </w:tcBorders>
            <w:tcMar>
              <w:top w:w="28" w:type="dxa"/>
              <w:left w:w="28" w:type="dxa"/>
              <w:bottom w:w="28" w:type="dxa"/>
              <w:right w:w="28" w:type="dxa"/>
            </w:tcMar>
            <w:vAlign w:val="cente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122,484,000</w:t>
            </w:r>
          </w:p>
        </w:tc>
        <w:tc>
          <w:tcPr>
            <w:tcW w:w="883" w:type="dxa"/>
            <w:tcBorders>
              <w:bottom w:val="single" w:sz="4" w:space="0" w:color="auto"/>
            </w:tcBorders>
            <w:tcMar>
              <w:top w:w="28" w:type="dxa"/>
              <w:left w:w="28" w:type="dxa"/>
              <w:bottom w:w="28" w:type="dxa"/>
              <w:right w:w="28" w:type="dxa"/>
            </w:tcMa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29.43%</w:t>
            </w:r>
          </w:p>
        </w:tc>
        <w:tc>
          <w:tcPr>
            <w:tcW w:w="992" w:type="dxa"/>
            <w:tcBorders>
              <w:bottom w:val="single" w:sz="4" w:space="0" w:color="auto"/>
            </w:tcBorders>
            <w:tcMar>
              <w:top w:w="28" w:type="dxa"/>
              <w:left w:w="28" w:type="dxa"/>
              <w:bottom w:w="28" w:type="dxa"/>
              <w:right w:w="28" w:type="dxa"/>
            </w:tcMar>
            <w:vAlign w:val="cente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24,204,957</w:t>
            </w:r>
          </w:p>
        </w:tc>
        <w:tc>
          <w:tcPr>
            <w:tcW w:w="992" w:type="dxa"/>
            <w:tcBorders>
              <w:bottom w:val="single" w:sz="4" w:space="0" w:color="auto"/>
            </w:tcBorders>
            <w:tcMar>
              <w:top w:w="28" w:type="dxa"/>
              <w:left w:w="28" w:type="dxa"/>
              <w:bottom w:w="28" w:type="dxa"/>
              <w:right w:w="28" w:type="dxa"/>
            </w:tcMa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33.48%</w:t>
            </w:r>
          </w:p>
        </w:tc>
        <w:tc>
          <w:tcPr>
            <w:tcW w:w="992" w:type="dxa"/>
            <w:tcBorders>
              <w:bottom w:val="single" w:sz="4" w:space="0" w:color="auto"/>
            </w:tcBorders>
            <w:tcMar>
              <w:top w:w="28" w:type="dxa"/>
              <w:left w:w="28" w:type="dxa"/>
              <w:bottom w:w="28" w:type="dxa"/>
              <w:right w:w="28" w:type="dxa"/>
            </w:tcMar>
          </w:tcPr>
          <w:p w:rsidR="000851A6" w:rsidRPr="000851A6" w:rsidRDefault="006A42EA" w:rsidP="005C7935">
            <w:pPr>
              <w:pStyle w:val="ListParagraph"/>
              <w:spacing w:after="0"/>
              <w:ind w:left="0"/>
              <w:jc w:val="center"/>
              <w:rPr>
                <w:rFonts w:eastAsiaTheme="minorEastAsia"/>
                <w:sz w:val="18"/>
                <w:szCs w:val="18"/>
              </w:rPr>
            </w:pPr>
            <w:r>
              <w:rPr>
                <w:rFonts w:eastAsiaTheme="minorEastAsia"/>
                <w:sz w:val="18"/>
                <w:szCs w:val="18"/>
              </w:rPr>
              <w:t>33.65%</w:t>
            </w:r>
          </w:p>
        </w:tc>
        <w:tc>
          <w:tcPr>
            <w:tcW w:w="993" w:type="dxa"/>
            <w:tcBorders>
              <w:bottom w:val="single" w:sz="4" w:space="0" w:color="auto"/>
            </w:tcBorders>
            <w:tcMar>
              <w:top w:w="28" w:type="dxa"/>
              <w:left w:w="28" w:type="dxa"/>
              <w:bottom w:w="28" w:type="dxa"/>
              <w:right w:w="28" w:type="dxa"/>
            </w:tcMar>
          </w:tcPr>
          <w:p w:rsidR="000851A6" w:rsidRPr="000851A6" w:rsidRDefault="006A42EA" w:rsidP="005C7935">
            <w:pPr>
              <w:pStyle w:val="ListParagraph"/>
              <w:spacing w:after="0"/>
              <w:ind w:left="0"/>
              <w:jc w:val="center"/>
              <w:rPr>
                <w:rFonts w:eastAsiaTheme="minorEastAsia"/>
                <w:sz w:val="18"/>
                <w:szCs w:val="18"/>
              </w:rPr>
            </w:pPr>
            <w:r>
              <w:rPr>
                <w:rFonts w:eastAsiaTheme="minorEastAsia"/>
                <w:sz w:val="18"/>
                <w:szCs w:val="18"/>
              </w:rPr>
              <w:t>33.82%</w:t>
            </w:r>
          </w:p>
        </w:tc>
        <w:tc>
          <w:tcPr>
            <w:tcW w:w="992" w:type="dxa"/>
            <w:tcBorders>
              <w:bottom w:val="single" w:sz="4" w:space="0" w:color="auto"/>
            </w:tcBorders>
            <w:tcMar>
              <w:top w:w="28" w:type="dxa"/>
              <w:left w:w="28" w:type="dxa"/>
              <w:bottom w:w="28" w:type="dxa"/>
              <w:right w:w="28" w:type="dxa"/>
            </w:tcMar>
          </w:tcPr>
          <w:p w:rsidR="000851A6" w:rsidRPr="000851A6" w:rsidRDefault="006A42EA" w:rsidP="005C7935">
            <w:pPr>
              <w:pStyle w:val="ListParagraph"/>
              <w:spacing w:after="0"/>
              <w:ind w:left="0"/>
              <w:jc w:val="center"/>
              <w:rPr>
                <w:rFonts w:eastAsiaTheme="minorEastAsia"/>
                <w:sz w:val="18"/>
                <w:szCs w:val="18"/>
              </w:rPr>
            </w:pPr>
            <w:r>
              <w:rPr>
                <w:rFonts w:eastAsiaTheme="minorEastAsia"/>
                <w:sz w:val="18"/>
                <w:szCs w:val="18"/>
              </w:rPr>
              <w:t>6.13%</w:t>
            </w:r>
          </w:p>
        </w:tc>
      </w:tr>
      <w:tr w:rsidR="00DE3349" w:rsidTr="000851A6">
        <w:tc>
          <w:tcPr>
            <w:tcW w:w="1730" w:type="dxa"/>
            <w:tcBorders>
              <w:bottom w:val="single" w:sz="4" w:space="0" w:color="auto"/>
            </w:tcBorders>
            <w:tcMar>
              <w:top w:w="28" w:type="dxa"/>
              <w:left w:w="28" w:type="dxa"/>
              <w:bottom w:w="28" w:type="dxa"/>
              <w:right w:w="28" w:type="dxa"/>
            </w:tcMar>
            <w:vAlign w:val="center"/>
          </w:tcPr>
          <w:p w:rsidR="00DE3349" w:rsidRPr="000851A6" w:rsidRDefault="00DE3349" w:rsidP="00DE3349">
            <w:pPr>
              <w:pStyle w:val="ListParagraph"/>
              <w:spacing w:after="0"/>
              <w:ind w:left="0"/>
              <w:jc w:val="left"/>
              <w:rPr>
                <w:rFonts w:eastAsiaTheme="minorEastAsia"/>
                <w:sz w:val="18"/>
                <w:szCs w:val="18"/>
              </w:rPr>
            </w:pPr>
            <w:r>
              <w:rPr>
                <w:rFonts w:eastAsiaTheme="minorEastAsia"/>
                <w:sz w:val="18"/>
                <w:szCs w:val="18"/>
              </w:rPr>
              <w:t>Class A14</w:t>
            </w:r>
          </w:p>
        </w:tc>
        <w:tc>
          <w:tcPr>
            <w:tcW w:w="993" w:type="dxa"/>
            <w:tcBorders>
              <w:bottom w:val="single" w:sz="4" w:space="0" w:color="auto"/>
            </w:tcBorders>
            <w:tcMar>
              <w:top w:w="28" w:type="dxa"/>
              <w:left w:w="28" w:type="dxa"/>
              <w:bottom w:w="28" w:type="dxa"/>
              <w:right w:w="28" w:type="dxa"/>
            </w:tcMar>
            <w:vAlign w:val="center"/>
          </w:tcPr>
          <w:p w:rsidR="00DE3349" w:rsidRPr="000851A6" w:rsidRDefault="00DE3349" w:rsidP="00DE3349">
            <w:pPr>
              <w:pStyle w:val="ListParagraph"/>
              <w:spacing w:after="0"/>
              <w:ind w:left="0"/>
              <w:jc w:val="center"/>
              <w:rPr>
                <w:rFonts w:eastAsiaTheme="minorEastAsia"/>
                <w:sz w:val="18"/>
                <w:szCs w:val="18"/>
              </w:rPr>
            </w:pPr>
            <w:r>
              <w:rPr>
                <w:rFonts w:eastAsiaTheme="minorEastAsia"/>
                <w:sz w:val="18"/>
                <w:szCs w:val="18"/>
              </w:rPr>
              <w:t>1,550,000</w:t>
            </w:r>
          </w:p>
        </w:tc>
        <w:tc>
          <w:tcPr>
            <w:tcW w:w="883" w:type="dxa"/>
            <w:tcBorders>
              <w:bottom w:val="single" w:sz="4" w:space="0" w:color="auto"/>
            </w:tcBorders>
            <w:tcMar>
              <w:top w:w="28" w:type="dxa"/>
              <w:left w:w="28" w:type="dxa"/>
              <w:bottom w:w="28" w:type="dxa"/>
              <w:right w:w="28" w:type="dxa"/>
            </w:tcMar>
          </w:tcPr>
          <w:p w:rsidR="00DE3349" w:rsidRPr="000851A6" w:rsidRDefault="00DE3349" w:rsidP="00DE3349">
            <w:pPr>
              <w:pStyle w:val="ListParagraph"/>
              <w:spacing w:after="0"/>
              <w:ind w:left="0"/>
              <w:jc w:val="center"/>
              <w:rPr>
                <w:rFonts w:eastAsiaTheme="minorEastAsia"/>
                <w:sz w:val="18"/>
                <w:szCs w:val="18"/>
              </w:rPr>
            </w:pPr>
            <w:r>
              <w:rPr>
                <w:rFonts w:eastAsiaTheme="minorEastAsia"/>
                <w:sz w:val="18"/>
                <w:szCs w:val="18"/>
              </w:rPr>
              <w:t>0.37%</w:t>
            </w:r>
          </w:p>
        </w:tc>
        <w:tc>
          <w:tcPr>
            <w:tcW w:w="992" w:type="dxa"/>
            <w:tcBorders>
              <w:bottom w:val="single" w:sz="4" w:space="0" w:color="auto"/>
            </w:tcBorders>
            <w:tcMar>
              <w:top w:w="28" w:type="dxa"/>
              <w:left w:w="28" w:type="dxa"/>
              <w:bottom w:w="28" w:type="dxa"/>
              <w:right w:w="28" w:type="dxa"/>
            </w:tcMar>
            <w:vAlign w:val="center"/>
          </w:tcPr>
          <w:p w:rsidR="00DE3349" w:rsidRPr="000851A6" w:rsidRDefault="00DE3349" w:rsidP="00DE3349">
            <w:pPr>
              <w:pStyle w:val="ListParagraph"/>
              <w:spacing w:after="0"/>
              <w:ind w:left="0"/>
              <w:jc w:val="center"/>
              <w:rPr>
                <w:rFonts w:eastAsiaTheme="minorEastAsia"/>
                <w:sz w:val="18"/>
                <w:szCs w:val="18"/>
              </w:rPr>
            </w:pPr>
            <w:r>
              <w:rPr>
                <w:rFonts w:eastAsiaTheme="minorEastAsia"/>
                <w:sz w:val="18"/>
                <w:szCs w:val="18"/>
              </w:rPr>
              <w:t>0</w:t>
            </w:r>
          </w:p>
        </w:tc>
        <w:tc>
          <w:tcPr>
            <w:tcW w:w="992" w:type="dxa"/>
            <w:tcBorders>
              <w:bottom w:val="single" w:sz="4" w:space="0" w:color="auto"/>
            </w:tcBorders>
            <w:tcMar>
              <w:top w:w="28" w:type="dxa"/>
              <w:left w:w="28" w:type="dxa"/>
              <w:bottom w:w="28" w:type="dxa"/>
              <w:right w:w="28" w:type="dxa"/>
            </w:tcMar>
          </w:tcPr>
          <w:p w:rsidR="00DE3349" w:rsidRPr="000851A6" w:rsidRDefault="00DE3349" w:rsidP="00DE3349">
            <w:pPr>
              <w:pStyle w:val="ListParagraph"/>
              <w:spacing w:after="0"/>
              <w:ind w:left="0"/>
              <w:jc w:val="center"/>
              <w:rPr>
                <w:rFonts w:eastAsiaTheme="minorEastAsia"/>
                <w:sz w:val="18"/>
                <w:szCs w:val="18"/>
              </w:rPr>
            </w:pPr>
          </w:p>
        </w:tc>
        <w:tc>
          <w:tcPr>
            <w:tcW w:w="992" w:type="dxa"/>
            <w:tcBorders>
              <w:bottom w:val="single" w:sz="4" w:space="0" w:color="auto"/>
            </w:tcBorders>
            <w:tcMar>
              <w:top w:w="28" w:type="dxa"/>
              <w:left w:w="28" w:type="dxa"/>
              <w:bottom w:w="28" w:type="dxa"/>
              <w:right w:w="28" w:type="dxa"/>
            </w:tcMar>
          </w:tcPr>
          <w:p w:rsidR="00DE3349" w:rsidRPr="000851A6" w:rsidRDefault="00DE3349" w:rsidP="00DE3349">
            <w:pPr>
              <w:pStyle w:val="ListParagraph"/>
              <w:spacing w:after="0"/>
              <w:ind w:left="0"/>
              <w:jc w:val="center"/>
              <w:rPr>
                <w:rFonts w:eastAsiaTheme="minorEastAsia"/>
                <w:sz w:val="18"/>
                <w:szCs w:val="18"/>
              </w:rPr>
            </w:pPr>
          </w:p>
        </w:tc>
        <w:tc>
          <w:tcPr>
            <w:tcW w:w="993" w:type="dxa"/>
            <w:tcBorders>
              <w:bottom w:val="single" w:sz="4" w:space="0" w:color="auto"/>
            </w:tcBorders>
            <w:tcMar>
              <w:top w:w="28" w:type="dxa"/>
              <w:left w:w="28" w:type="dxa"/>
              <w:bottom w:w="28" w:type="dxa"/>
              <w:right w:w="28" w:type="dxa"/>
            </w:tcMar>
          </w:tcPr>
          <w:p w:rsidR="00DE3349" w:rsidRPr="000851A6" w:rsidRDefault="00DE3349" w:rsidP="00DE3349">
            <w:pPr>
              <w:pStyle w:val="ListParagraph"/>
              <w:spacing w:after="0"/>
              <w:ind w:left="0"/>
              <w:jc w:val="center"/>
              <w:rPr>
                <w:rFonts w:eastAsiaTheme="minorEastAsia"/>
                <w:sz w:val="18"/>
                <w:szCs w:val="18"/>
              </w:rPr>
            </w:pPr>
          </w:p>
        </w:tc>
        <w:tc>
          <w:tcPr>
            <w:tcW w:w="992" w:type="dxa"/>
            <w:tcBorders>
              <w:bottom w:val="single" w:sz="4" w:space="0" w:color="auto"/>
            </w:tcBorders>
            <w:tcMar>
              <w:top w:w="28" w:type="dxa"/>
              <w:left w:w="28" w:type="dxa"/>
              <w:bottom w:w="28" w:type="dxa"/>
              <w:right w:w="28" w:type="dxa"/>
            </w:tcMar>
          </w:tcPr>
          <w:p w:rsidR="00DE3349" w:rsidRPr="000851A6" w:rsidRDefault="00DE3349" w:rsidP="00DE3349">
            <w:pPr>
              <w:pStyle w:val="ListParagraph"/>
              <w:spacing w:after="0"/>
              <w:ind w:left="0"/>
              <w:jc w:val="center"/>
              <w:rPr>
                <w:rFonts w:eastAsiaTheme="minorEastAsia"/>
                <w:sz w:val="18"/>
                <w:szCs w:val="18"/>
              </w:rPr>
            </w:pPr>
          </w:p>
        </w:tc>
      </w:tr>
      <w:tr w:rsidR="000851A6" w:rsidTr="000851A6">
        <w:tc>
          <w:tcPr>
            <w:tcW w:w="1730" w:type="dxa"/>
            <w:tcBorders>
              <w:bottom w:val="single" w:sz="4" w:space="0" w:color="auto"/>
            </w:tcBorders>
            <w:tcMar>
              <w:top w:w="28" w:type="dxa"/>
              <w:left w:w="28" w:type="dxa"/>
              <w:bottom w:w="28" w:type="dxa"/>
              <w:right w:w="28" w:type="dxa"/>
            </w:tcMar>
            <w:vAlign w:val="center"/>
          </w:tcPr>
          <w:p w:rsidR="000851A6" w:rsidRPr="000851A6" w:rsidRDefault="000851A6" w:rsidP="005C7935">
            <w:pPr>
              <w:pStyle w:val="ListParagraph"/>
              <w:spacing w:after="0"/>
              <w:ind w:left="0"/>
              <w:jc w:val="left"/>
              <w:rPr>
                <w:rFonts w:eastAsiaTheme="minorEastAsia"/>
                <w:sz w:val="18"/>
                <w:szCs w:val="18"/>
              </w:rPr>
            </w:pPr>
            <w:r w:rsidRPr="000851A6">
              <w:rPr>
                <w:rFonts w:eastAsiaTheme="minorEastAsia"/>
                <w:sz w:val="18"/>
                <w:szCs w:val="18"/>
              </w:rPr>
              <w:t>Class 30-PO</w:t>
            </w:r>
          </w:p>
        </w:tc>
        <w:tc>
          <w:tcPr>
            <w:tcW w:w="993" w:type="dxa"/>
            <w:tcBorders>
              <w:bottom w:val="single" w:sz="4" w:space="0" w:color="auto"/>
            </w:tcBorders>
            <w:tcMar>
              <w:top w:w="28" w:type="dxa"/>
              <w:left w:w="28" w:type="dxa"/>
              <w:bottom w:w="28" w:type="dxa"/>
              <w:right w:w="28" w:type="dxa"/>
            </w:tcMar>
            <w:vAlign w:val="cente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7,435,148</w:t>
            </w:r>
          </w:p>
        </w:tc>
        <w:tc>
          <w:tcPr>
            <w:tcW w:w="883" w:type="dxa"/>
            <w:tcBorders>
              <w:bottom w:val="single" w:sz="4" w:space="0" w:color="auto"/>
            </w:tcBorders>
            <w:tcMar>
              <w:top w:w="28" w:type="dxa"/>
              <w:left w:w="28" w:type="dxa"/>
              <w:bottom w:w="28" w:type="dxa"/>
              <w:right w:w="28" w:type="dxa"/>
            </w:tcMa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1.79%</w:t>
            </w:r>
          </w:p>
        </w:tc>
        <w:tc>
          <w:tcPr>
            <w:tcW w:w="992" w:type="dxa"/>
            <w:tcBorders>
              <w:bottom w:val="single" w:sz="4" w:space="0" w:color="auto"/>
            </w:tcBorders>
            <w:tcMar>
              <w:top w:w="28" w:type="dxa"/>
              <w:left w:w="28" w:type="dxa"/>
              <w:bottom w:w="28" w:type="dxa"/>
              <w:right w:w="28" w:type="dxa"/>
            </w:tcMar>
            <w:vAlign w:val="cente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1,034,904</w:t>
            </w:r>
          </w:p>
        </w:tc>
        <w:tc>
          <w:tcPr>
            <w:tcW w:w="992" w:type="dxa"/>
            <w:tcBorders>
              <w:bottom w:val="single" w:sz="4" w:space="0" w:color="auto"/>
            </w:tcBorders>
            <w:tcMar>
              <w:top w:w="28" w:type="dxa"/>
              <w:left w:w="28" w:type="dxa"/>
              <w:bottom w:w="28" w:type="dxa"/>
              <w:right w:w="28" w:type="dxa"/>
            </w:tcMar>
          </w:tcPr>
          <w:p w:rsidR="000851A6" w:rsidRPr="000851A6" w:rsidRDefault="000851A6" w:rsidP="005C7935">
            <w:pPr>
              <w:pStyle w:val="ListParagraph"/>
              <w:spacing w:after="0"/>
              <w:ind w:left="0"/>
              <w:jc w:val="center"/>
              <w:rPr>
                <w:rFonts w:eastAsiaTheme="minorEastAsia"/>
                <w:sz w:val="18"/>
                <w:szCs w:val="18"/>
              </w:rPr>
            </w:pPr>
            <w:r w:rsidRPr="000851A6">
              <w:rPr>
                <w:rFonts w:eastAsiaTheme="minorEastAsia"/>
                <w:sz w:val="18"/>
                <w:szCs w:val="18"/>
              </w:rPr>
              <w:t>1.43%</w:t>
            </w:r>
          </w:p>
        </w:tc>
        <w:tc>
          <w:tcPr>
            <w:tcW w:w="992" w:type="dxa"/>
            <w:tcBorders>
              <w:bottom w:val="single" w:sz="4" w:space="0" w:color="auto"/>
            </w:tcBorders>
            <w:tcMar>
              <w:top w:w="28" w:type="dxa"/>
              <w:left w:w="28" w:type="dxa"/>
              <w:bottom w:w="28" w:type="dxa"/>
              <w:right w:w="28" w:type="dxa"/>
            </w:tcMar>
          </w:tcPr>
          <w:p w:rsidR="000851A6" w:rsidRPr="000851A6" w:rsidRDefault="000851A6" w:rsidP="005C7935">
            <w:pPr>
              <w:pStyle w:val="ListParagraph"/>
              <w:spacing w:after="0"/>
              <w:ind w:left="0"/>
              <w:jc w:val="center"/>
              <w:rPr>
                <w:rFonts w:eastAsiaTheme="minorEastAsia"/>
                <w:sz w:val="18"/>
                <w:szCs w:val="18"/>
              </w:rPr>
            </w:pPr>
          </w:p>
        </w:tc>
        <w:tc>
          <w:tcPr>
            <w:tcW w:w="993" w:type="dxa"/>
            <w:tcBorders>
              <w:bottom w:val="single" w:sz="4" w:space="0" w:color="auto"/>
            </w:tcBorders>
            <w:tcMar>
              <w:top w:w="28" w:type="dxa"/>
              <w:left w:w="28" w:type="dxa"/>
              <w:bottom w:w="28" w:type="dxa"/>
              <w:right w:w="28" w:type="dxa"/>
            </w:tcMar>
          </w:tcPr>
          <w:p w:rsidR="000851A6" w:rsidRPr="000851A6" w:rsidRDefault="000851A6" w:rsidP="005C7935">
            <w:pPr>
              <w:pStyle w:val="ListParagraph"/>
              <w:spacing w:after="0"/>
              <w:ind w:left="0"/>
              <w:jc w:val="center"/>
              <w:rPr>
                <w:rFonts w:eastAsiaTheme="minorEastAsia"/>
                <w:sz w:val="18"/>
                <w:szCs w:val="18"/>
              </w:rPr>
            </w:pPr>
          </w:p>
        </w:tc>
        <w:tc>
          <w:tcPr>
            <w:tcW w:w="992" w:type="dxa"/>
            <w:tcBorders>
              <w:bottom w:val="single" w:sz="4" w:space="0" w:color="auto"/>
            </w:tcBorders>
            <w:tcMar>
              <w:top w:w="28" w:type="dxa"/>
              <w:left w:w="28" w:type="dxa"/>
              <w:bottom w:w="28" w:type="dxa"/>
              <w:right w:w="28" w:type="dxa"/>
            </w:tcMar>
          </w:tcPr>
          <w:p w:rsidR="000851A6" w:rsidRPr="000851A6" w:rsidRDefault="000851A6" w:rsidP="005C7935">
            <w:pPr>
              <w:pStyle w:val="ListParagraph"/>
              <w:spacing w:after="0"/>
              <w:ind w:left="0"/>
              <w:jc w:val="center"/>
              <w:rPr>
                <w:rFonts w:eastAsiaTheme="minorEastAsia"/>
                <w:sz w:val="18"/>
                <w:szCs w:val="18"/>
              </w:rPr>
            </w:pPr>
          </w:p>
        </w:tc>
      </w:tr>
      <w:tr w:rsidR="0039320B" w:rsidTr="000851A6">
        <w:tc>
          <w:tcPr>
            <w:tcW w:w="1730" w:type="dxa"/>
            <w:tcBorders>
              <w:top w:val="single" w:sz="12" w:space="0" w:color="auto"/>
            </w:tcBorders>
            <w:tcMar>
              <w:top w:w="28" w:type="dxa"/>
              <w:left w:w="28" w:type="dxa"/>
              <w:bottom w:w="28" w:type="dxa"/>
              <w:right w:w="28" w:type="dxa"/>
            </w:tcMar>
            <w:vAlign w:val="center"/>
          </w:tcPr>
          <w:p w:rsidR="0039320B" w:rsidRPr="000851A6" w:rsidRDefault="0039320B" w:rsidP="0039320B">
            <w:pPr>
              <w:pStyle w:val="ListParagraph"/>
              <w:spacing w:after="0"/>
              <w:ind w:left="0"/>
              <w:jc w:val="left"/>
              <w:rPr>
                <w:rFonts w:eastAsiaTheme="minorEastAsia"/>
                <w:b/>
                <w:sz w:val="18"/>
                <w:szCs w:val="18"/>
              </w:rPr>
            </w:pPr>
            <w:r w:rsidRPr="000851A6">
              <w:rPr>
                <w:rFonts w:eastAsiaTheme="minorEastAsia"/>
                <w:b/>
                <w:sz w:val="18"/>
                <w:szCs w:val="18"/>
              </w:rPr>
              <w:t>Total</w:t>
            </w:r>
          </w:p>
        </w:tc>
        <w:tc>
          <w:tcPr>
            <w:tcW w:w="993" w:type="dxa"/>
            <w:tcBorders>
              <w:top w:val="single" w:sz="12" w:space="0" w:color="auto"/>
            </w:tcBorders>
            <w:tcMar>
              <w:top w:w="28" w:type="dxa"/>
              <w:left w:w="28" w:type="dxa"/>
              <w:bottom w:w="28" w:type="dxa"/>
              <w:right w:w="28" w:type="dxa"/>
            </w:tcMar>
            <w:vAlign w:val="center"/>
          </w:tcPr>
          <w:p w:rsidR="0039320B" w:rsidRPr="000851A6" w:rsidRDefault="0039320B" w:rsidP="0039320B">
            <w:pPr>
              <w:pStyle w:val="ListParagraph"/>
              <w:spacing w:after="0"/>
              <w:ind w:left="0"/>
              <w:jc w:val="center"/>
              <w:rPr>
                <w:rFonts w:eastAsiaTheme="minorEastAsia"/>
                <w:b/>
                <w:sz w:val="18"/>
                <w:szCs w:val="18"/>
              </w:rPr>
            </w:pPr>
            <w:r w:rsidRPr="000851A6">
              <w:rPr>
                <w:rFonts w:eastAsiaTheme="minorEastAsia"/>
                <w:b/>
                <w:sz w:val="18"/>
                <w:szCs w:val="18"/>
              </w:rPr>
              <w:t>416,134,148</w:t>
            </w:r>
          </w:p>
        </w:tc>
        <w:tc>
          <w:tcPr>
            <w:tcW w:w="883" w:type="dxa"/>
            <w:tcBorders>
              <w:top w:val="single" w:sz="12" w:space="0" w:color="auto"/>
            </w:tcBorders>
            <w:tcMar>
              <w:top w:w="28" w:type="dxa"/>
              <w:left w:w="28" w:type="dxa"/>
              <w:bottom w:w="28" w:type="dxa"/>
              <w:right w:w="28" w:type="dxa"/>
            </w:tcMar>
          </w:tcPr>
          <w:p w:rsidR="0039320B" w:rsidRPr="000851A6" w:rsidRDefault="0039320B" w:rsidP="0039320B">
            <w:pPr>
              <w:pStyle w:val="ListParagraph"/>
              <w:spacing w:after="0"/>
              <w:ind w:left="0"/>
              <w:jc w:val="center"/>
              <w:rPr>
                <w:rFonts w:eastAsiaTheme="minorEastAsia"/>
                <w:b/>
                <w:sz w:val="18"/>
                <w:szCs w:val="18"/>
              </w:rPr>
            </w:pPr>
            <w:r>
              <w:rPr>
                <w:rFonts w:eastAsiaTheme="minorEastAsia"/>
                <w:b/>
                <w:sz w:val="18"/>
                <w:szCs w:val="18"/>
              </w:rPr>
              <w:t>100%</w:t>
            </w:r>
          </w:p>
        </w:tc>
        <w:tc>
          <w:tcPr>
            <w:tcW w:w="992" w:type="dxa"/>
            <w:tcBorders>
              <w:top w:val="single" w:sz="12" w:space="0" w:color="auto"/>
            </w:tcBorders>
            <w:tcMar>
              <w:top w:w="28" w:type="dxa"/>
              <w:left w:w="28" w:type="dxa"/>
              <w:bottom w:w="28" w:type="dxa"/>
              <w:right w:w="28" w:type="dxa"/>
            </w:tcMar>
          </w:tcPr>
          <w:p w:rsidR="0039320B" w:rsidRPr="000851A6" w:rsidRDefault="0039320B" w:rsidP="0039320B">
            <w:pPr>
              <w:pStyle w:val="ListParagraph"/>
              <w:spacing w:after="0"/>
              <w:ind w:left="0"/>
              <w:jc w:val="center"/>
              <w:rPr>
                <w:rFonts w:eastAsiaTheme="minorEastAsia"/>
                <w:b/>
                <w:sz w:val="18"/>
                <w:szCs w:val="18"/>
              </w:rPr>
            </w:pPr>
            <w:r w:rsidRPr="000851A6">
              <w:rPr>
                <w:rFonts w:eastAsiaTheme="minorEastAsia"/>
                <w:b/>
                <w:sz w:val="18"/>
                <w:szCs w:val="18"/>
              </w:rPr>
              <w:t>72,295,042</w:t>
            </w:r>
          </w:p>
        </w:tc>
        <w:tc>
          <w:tcPr>
            <w:tcW w:w="992" w:type="dxa"/>
            <w:tcBorders>
              <w:top w:val="single" w:sz="12" w:space="0" w:color="auto"/>
            </w:tcBorders>
            <w:tcMar>
              <w:top w:w="28" w:type="dxa"/>
              <w:left w:w="28" w:type="dxa"/>
              <w:bottom w:w="28" w:type="dxa"/>
              <w:right w:w="28" w:type="dxa"/>
            </w:tcMar>
          </w:tcPr>
          <w:p w:rsidR="0039320B" w:rsidRPr="000851A6" w:rsidRDefault="0039320B" w:rsidP="0039320B">
            <w:pPr>
              <w:pStyle w:val="ListParagraph"/>
              <w:spacing w:after="0"/>
              <w:ind w:left="0"/>
              <w:jc w:val="center"/>
              <w:rPr>
                <w:rFonts w:eastAsiaTheme="minorEastAsia"/>
                <w:b/>
                <w:sz w:val="18"/>
                <w:szCs w:val="18"/>
              </w:rPr>
            </w:pPr>
            <w:r w:rsidRPr="000851A6">
              <w:rPr>
                <w:rFonts w:eastAsiaTheme="minorEastAsia"/>
                <w:b/>
                <w:sz w:val="18"/>
                <w:szCs w:val="18"/>
              </w:rPr>
              <w:t>100%</w:t>
            </w:r>
          </w:p>
        </w:tc>
        <w:tc>
          <w:tcPr>
            <w:tcW w:w="992" w:type="dxa"/>
            <w:tcBorders>
              <w:top w:val="single" w:sz="12" w:space="0" w:color="auto"/>
            </w:tcBorders>
            <w:tcMar>
              <w:top w:w="28" w:type="dxa"/>
              <w:left w:w="28" w:type="dxa"/>
              <w:bottom w:w="28" w:type="dxa"/>
              <w:right w:w="28" w:type="dxa"/>
            </w:tcMar>
          </w:tcPr>
          <w:p w:rsidR="0039320B" w:rsidRDefault="0039320B" w:rsidP="0039320B">
            <w:pPr>
              <w:spacing w:after="0"/>
              <w:jc w:val="center"/>
            </w:pPr>
            <w:r w:rsidRPr="00C97327">
              <w:rPr>
                <w:rFonts w:eastAsiaTheme="minorEastAsia"/>
                <w:b/>
                <w:sz w:val="18"/>
                <w:szCs w:val="18"/>
              </w:rPr>
              <w:t>100%</w:t>
            </w:r>
          </w:p>
        </w:tc>
        <w:tc>
          <w:tcPr>
            <w:tcW w:w="993" w:type="dxa"/>
            <w:tcBorders>
              <w:top w:val="single" w:sz="12" w:space="0" w:color="auto"/>
            </w:tcBorders>
            <w:tcMar>
              <w:top w:w="28" w:type="dxa"/>
              <w:left w:w="28" w:type="dxa"/>
              <w:bottom w:w="28" w:type="dxa"/>
              <w:right w:w="28" w:type="dxa"/>
            </w:tcMar>
          </w:tcPr>
          <w:p w:rsidR="0039320B" w:rsidRDefault="0039320B" w:rsidP="0039320B">
            <w:pPr>
              <w:spacing w:after="0"/>
              <w:jc w:val="center"/>
            </w:pPr>
            <w:r w:rsidRPr="00C97327">
              <w:rPr>
                <w:rFonts w:eastAsiaTheme="minorEastAsia"/>
                <w:b/>
                <w:sz w:val="18"/>
                <w:szCs w:val="18"/>
              </w:rPr>
              <w:t>100%</w:t>
            </w:r>
          </w:p>
        </w:tc>
        <w:tc>
          <w:tcPr>
            <w:tcW w:w="992" w:type="dxa"/>
            <w:tcBorders>
              <w:top w:val="single" w:sz="12" w:space="0" w:color="auto"/>
            </w:tcBorders>
            <w:tcMar>
              <w:top w:w="28" w:type="dxa"/>
              <w:left w:w="28" w:type="dxa"/>
              <w:bottom w:w="28" w:type="dxa"/>
              <w:right w:w="28" w:type="dxa"/>
            </w:tcMar>
          </w:tcPr>
          <w:p w:rsidR="0039320B" w:rsidRPr="000851A6" w:rsidRDefault="0039320B" w:rsidP="0039320B">
            <w:pPr>
              <w:pStyle w:val="ListParagraph"/>
              <w:spacing w:after="0"/>
              <w:ind w:left="0"/>
              <w:jc w:val="center"/>
              <w:rPr>
                <w:rFonts w:eastAsiaTheme="minorEastAsia"/>
                <w:b/>
                <w:sz w:val="18"/>
                <w:szCs w:val="18"/>
              </w:rPr>
            </w:pPr>
          </w:p>
        </w:tc>
      </w:tr>
    </w:tbl>
    <w:p w:rsidR="00926B6A" w:rsidRDefault="00BB4558" w:rsidP="00FC4EE7">
      <w:pPr>
        <w:pStyle w:val="ListParagraph"/>
        <w:spacing w:before="240" w:after="0"/>
        <w:ind w:left="714"/>
        <w:contextualSpacing w:val="0"/>
        <w:rPr>
          <w:rFonts w:eastAsiaTheme="minorEastAsia"/>
          <w:sz w:val="20"/>
          <w:szCs w:val="20"/>
        </w:rPr>
      </w:pPr>
      <w:r>
        <w:rPr>
          <w:rFonts w:eastAsiaTheme="minorEastAsia"/>
          <w:sz w:val="20"/>
          <w:szCs w:val="20"/>
        </w:rPr>
        <w:lastRenderedPageBreak/>
        <w:t>A2 and</w:t>
      </w:r>
      <w:r w:rsidR="00353407">
        <w:rPr>
          <w:rFonts w:eastAsiaTheme="minorEastAsia"/>
          <w:sz w:val="20"/>
          <w:szCs w:val="20"/>
        </w:rPr>
        <w:t xml:space="preserve"> </w:t>
      </w:r>
      <w:r w:rsidR="00FC4EE7">
        <w:rPr>
          <w:rFonts w:eastAsiaTheme="minorEastAsia"/>
          <w:sz w:val="20"/>
          <w:szCs w:val="20"/>
        </w:rPr>
        <w:t>A8 are interest only (IO) securities.</w:t>
      </w:r>
      <w:r w:rsidR="00926B6A">
        <w:rPr>
          <w:rFonts w:eastAsiaTheme="minorEastAsia"/>
          <w:sz w:val="20"/>
          <w:szCs w:val="20"/>
        </w:rPr>
        <w:t xml:space="preserve"> </w:t>
      </w:r>
      <w:r w:rsidR="00D40AAD">
        <w:rPr>
          <w:rFonts w:eastAsiaTheme="minorEastAsia"/>
          <w:sz w:val="20"/>
          <w:szCs w:val="20"/>
        </w:rPr>
        <w:t xml:space="preserve">A9 security is composed of three tranches: A-9-1, A-9-2 and A-9-3. </w:t>
      </w:r>
      <w:r w:rsidR="00F5057C">
        <w:rPr>
          <w:rFonts w:eastAsiaTheme="minorEastAsia"/>
          <w:sz w:val="20"/>
          <w:szCs w:val="20"/>
        </w:rPr>
        <w:t>A1 is a floating rate security. Classes A3 and A13 have 6.0% fixed coupon rate, Classes A5 and A7 have 5.5% fixed coupon rate, class A6 has 5.75% fixed coupon rate, and classes A10-A12 have on average 6.0% fixed coupon rate.</w:t>
      </w:r>
      <w:r w:rsidR="009D0C61">
        <w:rPr>
          <w:rFonts w:eastAsiaTheme="minorEastAsia"/>
          <w:sz w:val="20"/>
          <w:szCs w:val="20"/>
        </w:rPr>
        <w:t xml:space="preserve"> (The </w:t>
      </w:r>
      <w:r w:rsidR="00FB78D7">
        <w:rPr>
          <w:rFonts w:eastAsiaTheme="minorEastAsia"/>
          <w:sz w:val="20"/>
          <w:szCs w:val="20"/>
        </w:rPr>
        <w:t xml:space="preserve">estimated </w:t>
      </w:r>
      <w:r w:rsidR="009D0C61">
        <w:rPr>
          <w:rFonts w:eastAsiaTheme="minorEastAsia"/>
          <w:sz w:val="20"/>
          <w:szCs w:val="20"/>
        </w:rPr>
        <w:t>effective coupon rate</w:t>
      </w:r>
      <w:r w:rsidR="00FB78D7">
        <w:rPr>
          <w:rFonts w:eastAsiaTheme="minorEastAsia"/>
          <w:sz w:val="20"/>
          <w:szCs w:val="20"/>
        </w:rPr>
        <w:t>, presented in the last colum</w:t>
      </w:r>
      <w:r w:rsidR="002A0AA0">
        <w:rPr>
          <w:rFonts w:eastAsiaTheme="minorEastAsia"/>
          <w:sz w:val="20"/>
          <w:szCs w:val="20"/>
        </w:rPr>
        <w:t>n</w:t>
      </w:r>
      <w:r w:rsidR="00FB78D7">
        <w:rPr>
          <w:rFonts w:eastAsiaTheme="minorEastAsia"/>
          <w:sz w:val="20"/>
          <w:szCs w:val="20"/>
        </w:rPr>
        <w:t>,</w:t>
      </w:r>
      <w:r w:rsidR="009D0C61">
        <w:rPr>
          <w:rFonts w:eastAsiaTheme="minorEastAsia"/>
          <w:sz w:val="20"/>
          <w:szCs w:val="20"/>
        </w:rPr>
        <w:t xml:space="preserve"> is higher by </w:t>
      </w:r>
      <w:r w:rsidR="00FB78D7">
        <w:rPr>
          <w:rFonts w:eastAsiaTheme="minorEastAsia"/>
          <w:sz w:val="20"/>
          <w:szCs w:val="20"/>
        </w:rPr>
        <w:t xml:space="preserve">approximately </w:t>
      </w:r>
      <w:r w:rsidR="009D0C61">
        <w:rPr>
          <w:rFonts w:eastAsiaTheme="minorEastAsia"/>
          <w:sz w:val="20"/>
          <w:szCs w:val="20"/>
        </w:rPr>
        <w:t>13bps for each class).</w:t>
      </w:r>
    </w:p>
    <w:p w:rsidR="001A4C2A" w:rsidRDefault="001A4C2A" w:rsidP="00245D1A">
      <w:pPr>
        <w:pStyle w:val="ListParagraph"/>
        <w:spacing w:before="240"/>
        <w:ind w:left="714"/>
        <w:contextualSpacing w:val="0"/>
        <w:rPr>
          <w:rFonts w:eastAsiaTheme="minorEastAsia"/>
          <w:sz w:val="20"/>
          <w:szCs w:val="20"/>
        </w:rPr>
      </w:pPr>
      <w:r>
        <w:rPr>
          <w:rFonts w:eastAsiaTheme="minorEastAsia"/>
          <w:sz w:val="20"/>
          <w:szCs w:val="20"/>
        </w:rPr>
        <w:t xml:space="preserve">The CMO deal has a credit support depletion date after which the complex initial principal allocation rules switch to simple pro-rata allocation rules. </w:t>
      </w:r>
      <w:r w:rsidR="00CE025C">
        <w:rPr>
          <w:rFonts w:eastAsiaTheme="minorEastAsia"/>
          <w:sz w:val="20"/>
          <w:szCs w:val="20"/>
        </w:rPr>
        <w:t xml:space="preserve">The credit support depletion date became effective on 25 August 2011. </w:t>
      </w:r>
      <w:r>
        <w:rPr>
          <w:rFonts w:eastAsiaTheme="minorEastAsia"/>
          <w:sz w:val="20"/>
          <w:szCs w:val="20"/>
        </w:rPr>
        <w:t xml:space="preserve">The </w:t>
      </w:r>
      <w:r w:rsidR="009F524D">
        <w:rPr>
          <w:rFonts w:eastAsiaTheme="minorEastAsia"/>
          <w:sz w:val="20"/>
          <w:szCs w:val="20"/>
        </w:rPr>
        <w:t xml:space="preserve">pro-rata </w:t>
      </w:r>
      <w:r>
        <w:rPr>
          <w:rFonts w:eastAsiaTheme="minorEastAsia"/>
          <w:sz w:val="20"/>
          <w:szCs w:val="20"/>
        </w:rPr>
        <w:t xml:space="preserve">allocation rules are validated in the above exhibit. The percentage of allocated total losses and principal balances to each security approximately equals to the percentage of the security outstanding balances relative to the deal total outstanding balances. </w:t>
      </w:r>
      <w:r w:rsidR="00D40AAD">
        <w:rPr>
          <w:rFonts w:eastAsiaTheme="minorEastAsia"/>
          <w:sz w:val="20"/>
          <w:szCs w:val="20"/>
        </w:rPr>
        <w:t xml:space="preserve">The allocation of losses and principal amount in one month prior and one month after </w:t>
      </w:r>
      <w:r w:rsidR="00D40AAD">
        <w:rPr>
          <w:rFonts w:eastAsiaTheme="minorEastAsia"/>
          <w:sz w:val="20"/>
          <w:szCs w:val="20"/>
        </w:rPr>
        <w:t>credit support depletion date</w:t>
      </w:r>
      <w:r w:rsidR="00D40AAD">
        <w:rPr>
          <w:rFonts w:eastAsiaTheme="minorEastAsia"/>
          <w:sz w:val="20"/>
          <w:szCs w:val="20"/>
        </w:rPr>
        <w:t xml:space="preserve"> are presented in the exhibit below.</w:t>
      </w:r>
    </w:p>
    <w:tbl>
      <w:tblPr>
        <w:tblStyle w:val="TableGrid"/>
        <w:tblW w:w="8583" w:type="dxa"/>
        <w:jc w:val="right"/>
        <w:tblLayout w:type="fixed"/>
        <w:tblLook w:val="04A0" w:firstRow="1" w:lastRow="0" w:firstColumn="1" w:lastColumn="0" w:noHBand="0" w:noVBand="1"/>
      </w:tblPr>
      <w:tblGrid>
        <w:gridCol w:w="1463"/>
        <w:gridCol w:w="1134"/>
        <w:gridCol w:w="851"/>
        <w:gridCol w:w="992"/>
        <w:gridCol w:w="709"/>
        <w:gridCol w:w="1088"/>
        <w:gridCol w:w="786"/>
        <w:gridCol w:w="851"/>
        <w:gridCol w:w="709"/>
      </w:tblGrid>
      <w:tr w:rsidR="00D40AAD" w:rsidRPr="00C35B7D" w:rsidTr="000F036F">
        <w:trPr>
          <w:tblHeader/>
          <w:jc w:val="right"/>
        </w:trPr>
        <w:tc>
          <w:tcPr>
            <w:tcW w:w="1463" w:type="dxa"/>
            <w:shd w:val="clear" w:color="auto" w:fill="808080" w:themeFill="background1" w:themeFillShade="80"/>
            <w:tcMar>
              <w:top w:w="28" w:type="dxa"/>
              <w:left w:w="28" w:type="dxa"/>
              <w:bottom w:w="28" w:type="dxa"/>
              <w:right w:w="28" w:type="dxa"/>
            </w:tcMar>
            <w:vAlign w:val="center"/>
          </w:tcPr>
          <w:p w:rsidR="00D40AAD" w:rsidRPr="000851A6" w:rsidRDefault="00245D1A" w:rsidP="00D40AAD">
            <w:pPr>
              <w:pStyle w:val="ListParagraph"/>
              <w:spacing w:after="0"/>
              <w:ind w:left="0"/>
              <w:jc w:val="left"/>
              <w:rPr>
                <w:rFonts w:eastAsiaTheme="minorEastAsia"/>
                <w:b/>
                <w:sz w:val="18"/>
                <w:szCs w:val="18"/>
              </w:rPr>
            </w:pPr>
            <w:r>
              <w:rPr>
                <w:rFonts w:eastAsiaTheme="minorEastAsia"/>
                <w:b/>
                <w:color w:val="FFFFFF" w:themeColor="background1"/>
                <w:sz w:val="18"/>
                <w:szCs w:val="18"/>
              </w:rPr>
              <w:t>Certificate class</w:t>
            </w:r>
          </w:p>
        </w:tc>
        <w:tc>
          <w:tcPr>
            <w:tcW w:w="3686" w:type="dxa"/>
            <w:gridSpan w:val="4"/>
            <w:shd w:val="clear" w:color="auto" w:fill="808080" w:themeFill="background1" w:themeFillShade="80"/>
            <w:tcMar>
              <w:top w:w="28" w:type="dxa"/>
              <w:left w:w="28" w:type="dxa"/>
              <w:bottom w:w="28" w:type="dxa"/>
              <w:right w:w="28" w:type="dxa"/>
            </w:tcMar>
            <w:vAlign w:val="center"/>
          </w:tcPr>
          <w:p w:rsidR="00D40AAD" w:rsidRDefault="00D40AAD" w:rsidP="00D40AAD">
            <w:pPr>
              <w:pStyle w:val="ListParagraph"/>
              <w:spacing w:after="0"/>
              <w:ind w:left="0"/>
              <w:jc w:val="center"/>
              <w:rPr>
                <w:rFonts w:eastAsiaTheme="minorEastAsia"/>
                <w:b/>
                <w:color w:val="FFFFFF" w:themeColor="background1"/>
                <w:sz w:val="18"/>
                <w:szCs w:val="18"/>
              </w:rPr>
            </w:pPr>
            <w:r>
              <w:rPr>
                <w:rFonts w:eastAsiaTheme="minorEastAsia"/>
                <w:b/>
                <w:color w:val="FFFFFF" w:themeColor="background1"/>
                <w:sz w:val="18"/>
                <w:szCs w:val="18"/>
              </w:rPr>
              <w:t>July 2011</w:t>
            </w:r>
          </w:p>
        </w:tc>
        <w:tc>
          <w:tcPr>
            <w:tcW w:w="3434" w:type="dxa"/>
            <w:gridSpan w:val="4"/>
            <w:shd w:val="clear" w:color="auto" w:fill="808080" w:themeFill="background1" w:themeFillShade="80"/>
            <w:tcMar>
              <w:top w:w="28" w:type="dxa"/>
              <w:left w:w="28" w:type="dxa"/>
              <w:bottom w:w="28" w:type="dxa"/>
              <w:right w:w="28" w:type="dxa"/>
            </w:tcMar>
            <w:vAlign w:val="center"/>
          </w:tcPr>
          <w:p w:rsidR="00D40AAD" w:rsidRDefault="00D40AAD" w:rsidP="00D40AAD">
            <w:pPr>
              <w:pStyle w:val="ListParagraph"/>
              <w:spacing w:after="0"/>
              <w:ind w:left="0"/>
              <w:jc w:val="center"/>
              <w:rPr>
                <w:rFonts w:eastAsiaTheme="minorEastAsia"/>
                <w:b/>
                <w:color w:val="FFFFFF" w:themeColor="background1"/>
                <w:sz w:val="18"/>
                <w:szCs w:val="18"/>
              </w:rPr>
            </w:pPr>
            <w:r>
              <w:rPr>
                <w:rFonts w:eastAsiaTheme="minorEastAsia"/>
                <w:b/>
                <w:color w:val="FFFFFF" w:themeColor="background1"/>
                <w:sz w:val="18"/>
                <w:szCs w:val="18"/>
              </w:rPr>
              <w:t>September 2011</w:t>
            </w:r>
          </w:p>
        </w:tc>
      </w:tr>
      <w:tr w:rsidR="00D40AAD" w:rsidRPr="00C35B7D" w:rsidTr="000F036F">
        <w:trPr>
          <w:tblHeader/>
          <w:jc w:val="right"/>
        </w:trPr>
        <w:tc>
          <w:tcPr>
            <w:tcW w:w="1463" w:type="dxa"/>
            <w:shd w:val="clear" w:color="auto" w:fill="808080" w:themeFill="background1" w:themeFillShade="80"/>
            <w:tcMar>
              <w:top w:w="28" w:type="dxa"/>
              <w:left w:w="28" w:type="dxa"/>
              <w:bottom w:w="28" w:type="dxa"/>
              <w:right w:w="28" w:type="dxa"/>
            </w:tcMar>
            <w:vAlign w:val="center"/>
          </w:tcPr>
          <w:p w:rsidR="00D40AAD" w:rsidRPr="000851A6" w:rsidRDefault="00D40AAD" w:rsidP="00D40AAD">
            <w:pPr>
              <w:pStyle w:val="ListParagraph"/>
              <w:spacing w:after="0"/>
              <w:ind w:left="0"/>
              <w:jc w:val="left"/>
              <w:rPr>
                <w:rFonts w:eastAsiaTheme="minorEastAsia"/>
                <w:b/>
                <w:sz w:val="18"/>
                <w:szCs w:val="18"/>
              </w:rPr>
            </w:pPr>
          </w:p>
        </w:tc>
        <w:tc>
          <w:tcPr>
            <w:tcW w:w="1985" w:type="dxa"/>
            <w:gridSpan w:val="2"/>
            <w:shd w:val="clear" w:color="auto" w:fill="808080" w:themeFill="background1" w:themeFillShade="80"/>
            <w:tcMar>
              <w:top w:w="28" w:type="dxa"/>
              <w:left w:w="28" w:type="dxa"/>
              <w:bottom w:w="28" w:type="dxa"/>
              <w:right w:w="28" w:type="dxa"/>
            </w:tcMar>
            <w:vAlign w:val="center"/>
          </w:tcPr>
          <w:p w:rsidR="00D40AAD" w:rsidRPr="000851A6" w:rsidRDefault="00D40AAD" w:rsidP="00D40AAD">
            <w:pPr>
              <w:pStyle w:val="ListParagraph"/>
              <w:spacing w:after="0"/>
              <w:ind w:left="0"/>
              <w:jc w:val="center"/>
              <w:rPr>
                <w:rFonts w:eastAsiaTheme="minorEastAsia"/>
                <w:b/>
                <w:color w:val="FFFFFF" w:themeColor="background1"/>
                <w:sz w:val="18"/>
                <w:szCs w:val="18"/>
              </w:rPr>
            </w:pPr>
            <w:r>
              <w:rPr>
                <w:rFonts w:eastAsiaTheme="minorEastAsia"/>
                <w:b/>
                <w:color w:val="FFFFFF" w:themeColor="background1"/>
                <w:sz w:val="18"/>
                <w:szCs w:val="18"/>
              </w:rPr>
              <w:t>Nominal balance</w:t>
            </w:r>
          </w:p>
        </w:tc>
        <w:tc>
          <w:tcPr>
            <w:tcW w:w="992" w:type="dxa"/>
            <w:shd w:val="clear" w:color="auto" w:fill="808080" w:themeFill="background1" w:themeFillShade="80"/>
            <w:tcMar>
              <w:top w:w="28" w:type="dxa"/>
              <w:left w:w="28" w:type="dxa"/>
              <w:bottom w:w="28" w:type="dxa"/>
              <w:right w:w="28" w:type="dxa"/>
            </w:tcMar>
          </w:tcPr>
          <w:p w:rsidR="00D40AAD" w:rsidRPr="000851A6" w:rsidRDefault="00D40AAD" w:rsidP="00D40AAD">
            <w:pPr>
              <w:pStyle w:val="ListParagraph"/>
              <w:spacing w:after="0"/>
              <w:ind w:left="0"/>
              <w:jc w:val="center"/>
              <w:rPr>
                <w:rFonts w:eastAsiaTheme="minorEastAsia"/>
                <w:b/>
                <w:color w:val="FFFFFF" w:themeColor="background1"/>
                <w:sz w:val="18"/>
                <w:szCs w:val="18"/>
              </w:rPr>
            </w:pPr>
            <w:r>
              <w:rPr>
                <w:rFonts w:eastAsiaTheme="minorEastAsia"/>
                <w:b/>
                <w:color w:val="FFFFFF" w:themeColor="background1"/>
                <w:sz w:val="18"/>
                <w:szCs w:val="18"/>
              </w:rPr>
              <w:t>principal</w:t>
            </w:r>
          </w:p>
        </w:tc>
        <w:tc>
          <w:tcPr>
            <w:tcW w:w="709" w:type="dxa"/>
            <w:shd w:val="clear" w:color="auto" w:fill="808080" w:themeFill="background1" w:themeFillShade="80"/>
            <w:tcMar>
              <w:top w:w="28" w:type="dxa"/>
              <w:left w:w="28" w:type="dxa"/>
              <w:bottom w:w="28" w:type="dxa"/>
              <w:right w:w="28" w:type="dxa"/>
            </w:tcMar>
          </w:tcPr>
          <w:p w:rsidR="00D40AAD" w:rsidRPr="000851A6" w:rsidRDefault="00D40AAD" w:rsidP="00D40AAD">
            <w:pPr>
              <w:pStyle w:val="ListParagraph"/>
              <w:spacing w:after="0"/>
              <w:ind w:left="0"/>
              <w:jc w:val="center"/>
              <w:rPr>
                <w:rFonts w:eastAsiaTheme="minorEastAsia"/>
                <w:b/>
                <w:color w:val="FFFFFF" w:themeColor="background1"/>
                <w:sz w:val="18"/>
                <w:szCs w:val="18"/>
              </w:rPr>
            </w:pPr>
            <w:r>
              <w:rPr>
                <w:rFonts w:eastAsiaTheme="minorEastAsia"/>
                <w:b/>
                <w:color w:val="FFFFFF" w:themeColor="background1"/>
                <w:sz w:val="18"/>
                <w:szCs w:val="18"/>
              </w:rPr>
              <w:t>loss</w:t>
            </w:r>
          </w:p>
        </w:tc>
        <w:tc>
          <w:tcPr>
            <w:tcW w:w="1874" w:type="dxa"/>
            <w:gridSpan w:val="2"/>
            <w:shd w:val="clear" w:color="auto" w:fill="808080" w:themeFill="background1" w:themeFillShade="80"/>
            <w:tcMar>
              <w:top w:w="28" w:type="dxa"/>
              <w:left w:w="28" w:type="dxa"/>
              <w:bottom w:w="28" w:type="dxa"/>
              <w:right w:w="28" w:type="dxa"/>
            </w:tcMar>
            <w:vAlign w:val="center"/>
          </w:tcPr>
          <w:p w:rsidR="00D40AAD" w:rsidRPr="000851A6" w:rsidRDefault="00D40AAD" w:rsidP="00D40AAD">
            <w:pPr>
              <w:pStyle w:val="ListParagraph"/>
              <w:spacing w:after="0"/>
              <w:ind w:left="0"/>
              <w:jc w:val="center"/>
              <w:rPr>
                <w:rFonts w:eastAsiaTheme="minorEastAsia"/>
                <w:b/>
                <w:color w:val="FFFFFF" w:themeColor="background1"/>
                <w:sz w:val="18"/>
                <w:szCs w:val="18"/>
              </w:rPr>
            </w:pPr>
            <w:r>
              <w:rPr>
                <w:rFonts w:eastAsiaTheme="minorEastAsia"/>
                <w:b/>
                <w:color w:val="FFFFFF" w:themeColor="background1"/>
                <w:sz w:val="18"/>
                <w:szCs w:val="18"/>
              </w:rPr>
              <w:t>Nominal balance</w:t>
            </w:r>
          </w:p>
        </w:tc>
        <w:tc>
          <w:tcPr>
            <w:tcW w:w="851" w:type="dxa"/>
            <w:shd w:val="clear" w:color="auto" w:fill="808080" w:themeFill="background1" w:themeFillShade="80"/>
            <w:tcMar>
              <w:top w:w="28" w:type="dxa"/>
              <w:left w:w="28" w:type="dxa"/>
              <w:bottom w:w="28" w:type="dxa"/>
              <w:right w:w="28" w:type="dxa"/>
            </w:tcMar>
          </w:tcPr>
          <w:p w:rsidR="00D40AAD" w:rsidRPr="000851A6" w:rsidRDefault="00D40AAD" w:rsidP="00D40AAD">
            <w:pPr>
              <w:pStyle w:val="ListParagraph"/>
              <w:spacing w:after="0"/>
              <w:ind w:left="0"/>
              <w:jc w:val="center"/>
              <w:rPr>
                <w:rFonts w:eastAsiaTheme="minorEastAsia"/>
                <w:b/>
                <w:color w:val="FFFFFF" w:themeColor="background1"/>
                <w:sz w:val="18"/>
                <w:szCs w:val="18"/>
              </w:rPr>
            </w:pPr>
            <w:r>
              <w:rPr>
                <w:rFonts w:eastAsiaTheme="minorEastAsia"/>
                <w:b/>
                <w:color w:val="FFFFFF" w:themeColor="background1"/>
                <w:sz w:val="18"/>
                <w:szCs w:val="18"/>
              </w:rPr>
              <w:t>principal</w:t>
            </w:r>
          </w:p>
        </w:tc>
        <w:tc>
          <w:tcPr>
            <w:tcW w:w="709" w:type="dxa"/>
            <w:shd w:val="clear" w:color="auto" w:fill="808080" w:themeFill="background1" w:themeFillShade="80"/>
            <w:tcMar>
              <w:top w:w="28" w:type="dxa"/>
              <w:left w:w="28" w:type="dxa"/>
              <w:bottom w:w="28" w:type="dxa"/>
              <w:right w:w="28" w:type="dxa"/>
            </w:tcMar>
          </w:tcPr>
          <w:p w:rsidR="00D40AAD" w:rsidRPr="000851A6" w:rsidRDefault="00D40AAD" w:rsidP="00D40AAD">
            <w:pPr>
              <w:pStyle w:val="ListParagraph"/>
              <w:spacing w:after="0"/>
              <w:ind w:left="0"/>
              <w:jc w:val="center"/>
              <w:rPr>
                <w:rFonts w:eastAsiaTheme="minorEastAsia"/>
                <w:b/>
                <w:color w:val="FFFFFF" w:themeColor="background1"/>
                <w:sz w:val="18"/>
                <w:szCs w:val="18"/>
              </w:rPr>
            </w:pPr>
            <w:r>
              <w:rPr>
                <w:rFonts w:eastAsiaTheme="minorEastAsia"/>
                <w:b/>
                <w:color w:val="FFFFFF" w:themeColor="background1"/>
                <w:sz w:val="18"/>
                <w:szCs w:val="18"/>
              </w:rPr>
              <w:t>loss</w:t>
            </w:r>
          </w:p>
        </w:tc>
      </w:tr>
      <w:tr w:rsidR="00D40AAD" w:rsidRPr="00C35B7D" w:rsidTr="000F036F">
        <w:trPr>
          <w:tblHeader/>
          <w:jc w:val="right"/>
        </w:trPr>
        <w:tc>
          <w:tcPr>
            <w:tcW w:w="1463" w:type="dxa"/>
            <w:shd w:val="clear" w:color="auto" w:fill="808080" w:themeFill="background1" w:themeFillShade="80"/>
            <w:tcMar>
              <w:top w:w="28" w:type="dxa"/>
              <w:left w:w="28" w:type="dxa"/>
              <w:bottom w:w="28" w:type="dxa"/>
              <w:right w:w="28" w:type="dxa"/>
            </w:tcMar>
            <w:vAlign w:val="center"/>
          </w:tcPr>
          <w:p w:rsidR="00D40AAD" w:rsidRPr="000851A6" w:rsidRDefault="00D40AAD" w:rsidP="00D40AAD">
            <w:pPr>
              <w:pStyle w:val="ListParagraph"/>
              <w:spacing w:after="0"/>
              <w:ind w:left="0"/>
              <w:jc w:val="left"/>
              <w:rPr>
                <w:rFonts w:eastAsiaTheme="minorEastAsia"/>
                <w:b/>
                <w:sz w:val="18"/>
                <w:szCs w:val="18"/>
              </w:rPr>
            </w:pPr>
          </w:p>
        </w:tc>
        <w:tc>
          <w:tcPr>
            <w:tcW w:w="1134" w:type="dxa"/>
            <w:shd w:val="clear" w:color="auto" w:fill="808080" w:themeFill="background1" w:themeFillShade="80"/>
            <w:tcMar>
              <w:top w:w="28" w:type="dxa"/>
              <w:left w:w="28" w:type="dxa"/>
              <w:bottom w:w="28" w:type="dxa"/>
              <w:right w:w="28" w:type="dxa"/>
            </w:tcMar>
            <w:vAlign w:val="center"/>
          </w:tcPr>
          <w:p w:rsidR="00D40AAD" w:rsidRPr="000851A6" w:rsidRDefault="00D40AAD" w:rsidP="00D40AAD">
            <w:pPr>
              <w:pStyle w:val="ListParagraph"/>
              <w:spacing w:after="0"/>
              <w:ind w:left="0"/>
              <w:jc w:val="center"/>
              <w:rPr>
                <w:rFonts w:eastAsiaTheme="minorEastAsia"/>
                <w:b/>
                <w:color w:val="FFFFFF" w:themeColor="background1"/>
                <w:sz w:val="18"/>
                <w:szCs w:val="18"/>
              </w:rPr>
            </w:pPr>
            <w:r w:rsidRPr="000851A6">
              <w:rPr>
                <w:rFonts w:eastAsiaTheme="minorEastAsia"/>
                <w:b/>
                <w:color w:val="FFFFFF" w:themeColor="background1"/>
                <w:sz w:val="18"/>
                <w:szCs w:val="18"/>
              </w:rPr>
              <w:t>in US$</w:t>
            </w:r>
          </w:p>
        </w:tc>
        <w:tc>
          <w:tcPr>
            <w:tcW w:w="851" w:type="dxa"/>
            <w:shd w:val="clear" w:color="auto" w:fill="808080" w:themeFill="background1" w:themeFillShade="80"/>
            <w:tcMar>
              <w:top w:w="28" w:type="dxa"/>
              <w:left w:w="28" w:type="dxa"/>
              <w:bottom w:w="28" w:type="dxa"/>
              <w:right w:w="28" w:type="dxa"/>
            </w:tcMar>
          </w:tcPr>
          <w:p w:rsidR="00D40AAD" w:rsidRPr="000851A6" w:rsidRDefault="00D40AAD" w:rsidP="00D40AAD">
            <w:pPr>
              <w:pStyle w:val="ListParagraph"/>
              <w:spacing w:after="0"/>
              <w:ind w:left="0"/>
              <w:jc w:val="center"/>
              <w:rPr>
                <w:rFonts w:eastAsiaTheme="minorEastAsia"/>
                <w:b/>
                <w:color w:val="FFFFFF" w:themeColor="background1"/>
                <w:sz w:val="18"/>
                <w:szCs w:val="18"/>
              </w:rPr>
            </w:pPr>
            <w:r w:rsidRPr="000851A6">
              <w:rPr>
                <w:rFonts w:eastAsiaTheme="minorEastAsia"/>
                <w:b/>
                <w:color w:val="FFFFFF" w:themeColor="background1"/>
                <w:sz w:val="18"/>
                <w:szCs w:val="18"/>
              </w:rPr>
              <w:t>in %</w:t>
            </w:r>
          </w:p>
        </w:tc>
        <w:tc>
          <w:tcPr>
            <w:tcW w:w="992" w:type="dxa"/>
            <w:shd w:val="clear" w:color="auto" w:fill="808080" w:themeFill="background1" w:themeFillShade="80"/>
            <w:tcMar>
              <w:top w:w="28" w:type="dxa"/>
              <w:left w:w="28" w:type="dxa"/>
              <w:bottom w:w="28" w:type="dxa"/>
              <w:right w:w="28" w:type="dxa"/>
            </w:tcMar>
          </w:tcPr>
          <w:p w:rsidR="00D40AAD" w:rsidRPr="000851A6" w:rsidRDefault="00D40AAD" w:rsidP="00D40AAD">
            <w:pPr>
              <w:pStyle w:val="ListParagraph"/>
              <w:spacing w:after="0"/>
              <w:ind w:left="0"/>
              <w:jc w:val="center"/>
              <w:rPr>
                <w:rFonts w:eastAsiaTheme="minorEastAsia"/>
                <w:b/>
                <w:color w:val="FFFFFF" w:themeColor="background1"/>
                <w:sz w:val="18"/>
                <w:szCs w:val="18"/>
              </w:rPr>
            </w:pPr>
            <w:r w:rsidRPr="000851A6">
              <w:rPr>
                <w:rFonts w:eastAsiaTheme="minorEastAsia"/>
                <w:b/>
                <w:color w:val="FFFFFF" w:themeColor="background1"/>
                <w:sz w:val="18"/>
                <w:szCs w:val="18"/>
              </w:rPr>
              <w:t>In %</w:t>
            </w:r>
          </w:p>
        </w:tc>
        <w:tc>
          <w:tcPr>
            <w:tcW w:w="709" w:type="dxa"/>
            <w:shd w:val="clear" w:color="auto" w:fill="808080" w:themeFill="background1" w:themeFillShade="80"/>
            <w:tcMar>
              <w:top w:w="28" w:type="dxa"/>
              <w:left w:w="28" w:type="dxa"/>
              <w:bottom w:w="28" w:type="dxa"/>
              <w:right w:w="28" w:type="dxa"/>
            </w:tcMar>
          </w:tcPr>
          <w:p w:rsidR="00D40AAD" w:rsidRPr="000851A6" w:rsidRDefault="00D40AAD" w:rsidP="00D40AAD">
            <w:pPr>
              <w:pStyle w:val="ListParagraph"/>
              <w:spacing w:after="0"/>
              <w:ind w:left="0"/>
              <w:jc w:val="center"/>
              <w:rPr>
                <w:rFonts w:eastAsiaTheme="minorEastAsia"/>
                <w:b/>
                <w:color w:val="FFFFFF" w:themeColor="background1"/>
                <w:sz w:val="18"/>
                <w:szCs w:val="18"/>
              </w:rPr>
            </w:pPr>
            <w:r w:rsidRPr="000851A6">
              <w:rPr>
                <w:rFonts w:eastAsiaTheme="minorEastAsia"/>
                <w:b/>
                <w:color w:val="FFFFFF" w:themeColor="background1"/>
                <w:sz w:val="18"/>
                <w:szCs w:val="18"/>
              </w:rPr>
              <w:t>In %</w:t>
            </w:r>
          </w:p>
        </w:tc>
        <w:tc>
          <w:tcPr>
            <w:tcW w:w="1088" w:type="dxa"/>
            <w:shd w:val="clear" w:color="auto" w:fill="808080" w:themeFill="background1" w:themeFillShade="80"/>
            <w:tcMar>
              <w:top w:w="28" w:type="dxa"/>
              <w:left w:w="28" w:type="dxa"/>
              <w:bottom w:w="28" w:type="dxa"/>
              <w:right w:w="28" w:type="dxa"/>
            </w:tcMar>
            <w:vAlign w:val="center"/>
          </w:tcPr>
          <w:p w:rsidR="00D40AAD" w:rsidRPr="000851A6" w:rsidRDefault="00D40AAD" w:rsidP="00D40AAD">
            <w:pPr>
              <w:pStyle w:val="ListParagraph"/>
              <w:spacing w:after="0"/>
              <w:ind w:left="0"/>
              <w:jc w:val="center"/>
              <w:rPr>
                <w:rFonts w:eastAsiaTheme="minorEastAsia"/>
                <w:b/>
                <w:color w:val="FFFFFF" w:themeColor="background1"/>
                <w:sz w:val="18"/>
                <w:szCs w:val="18"/>
              </w:rPr>
            </w:pPr>
            <w:r w:rsidRPr="000851A6">
              <w:rPr>
                <w:rFonts w:eastAsiaTheme="minorEastAsia"/>
                <w:b/>
                <w:color w:val="FFFFFF" w:themeColor="background1"/>
                <w:sz w:val="18"/>
                <w:szCs w:val="18"/>
              </w:rPr>
              <w:t>in US$</w:t>
            </w:r>
          </w:p>
        </w:tc>
        <w:tc>
          <w:tcPr>
            <w:tcW w:w="786" w:type="dxa"/>
            <w:shd w:val="clear" w:color="auto" w:fill="808080" w:themeFill="background1" w:themeFillShade="80"/>
            <w:tcMar>
              <w:top w:w="28" w:type="dxa"/>
              <w:left w:w="28" w:type="dxa"/>
              <w:bottom w:w="28" w:type="dxa"/>
              <w:right w:w="28" w:type="dxa"/>
            </w:tcMar>
          </w:tcPr>
          <w:p w:rsidR="00D40AAD" w:rsidRPr="000851A6" w:rsidRDefault="00D40AAD" w:rsidP="00D40AAD">
            <w:pPr>
              <w:pStyle w:val="ListParagraph"/>
              <w:spacing w:after="0"/>
              <w:ind w:left="0"/>
              <w:jc w:val="center"/>
              <w:rPr>
                <w:rFonts w:eastAsiaTheme="minorEastAsia"/>
                <w:b/>
                <w:color w:val="FFFFFF" w:themeColor="background1"/>
                <w:sz w:val="18"/>
                <w:szCs w:val="18"/>
              </w:rPr>
            </w:pPr>
            <w:r w:rsidRPr="000851A6">
              <w:rPr>
                <w:rFonts w:eastAsiaTheme="minorEastAsia"/>
                <w:b/>
                <w:color w:val="FFFFFF" w:themeColor="background1"/>
                <w:sz w:val="18"/>
                <w:szCs w:val="18"/>
              </w:rPr>
              <w:t>in %</w:t>
            </w:r>
          </w:p>
        </w:tc>
        <w:tc>
          <w:tcPr>
            <w:tcW w:w="851" w:type="dxa"/>
            <w:shd w:val="clear" w:color="auto" w:fill="808080" w:themeFill="background1" w:themeFillShade="80"/>
            <w:tcMar>
              <w:top w:w="28" w:type="dxa"/>
              <w:left w:w="28" w:type="dxa"/>
              <w:bottom w:w="28" w:type="dxa"/>
              <w:right w:w="28" w:type="dxa"/>
            </w:tcMar>
          </w:tcPr>
          <w:p w:rsidR="00D40AAD" w:rsidRPr="000851A6" w:rsidRDefault="00D40AAD" w:rsidP="00D40AAD">
            <w:pPr>
              <w:pStyle w:val="ListParagraph"/>
              <w:spacing w:after="0"/>
              <w:ind w:left="0"/>
              <w:jc w:val="center"/>
              <w:rPr>
                <w:rFonts w:eastAsiaTheme="minorEastAsia"/>
                <w:b/>
                <w:color w:val="FFFFFF" w:themeColor="background1"/>
                <w:sz w:val="18"/>
                <w:szCs w:val="18"/>
              </w:rPr>
            </w:pPr>
            <w:r w:rsidRPr="000851A6">
              <w:rPr>
                <w:rFonts w:eastAsiaTheme="minorEastAsia"/>
                <w:b/>
                <w:color w:val="FFFFFF" w:themeColor="background1"/>
                <w:sz w:val="18"/>
                <w:szCs w:val="18"/>
              </w:rPr>
              <w:t>In %</w:t>
            </w:r>
          </w:p>
        </w:tc>
        <w:tc>
          <w:tcPr>
            <w:tcW w:w="709" w:type="dxa"/>
            <w:shd w:val="clear" w:color="auto" w:fill="808080" w:themeFill="background1" w:themeFillShade="80"/>
            <w:tcMar>
              <w:top w:w="28" w:type="dxa"/>
              <w:left w:w="28" w:type="dxa"/>
              <w:bottom w:w="28" w:type="dxa"/>
              <w:right w:w="28" w:type="dxa"/>
            </w:tcMar>
          </w:tcPr>
          <w:p w:rsidR="00D40AAD" w:rsidRPr="000851A6" w:rsidRDefault="00D40AAD" w:rsidP="00D40AAD">
            <w:pPr>
              <w:pStyle w:val="ListParagraph"/>
              <w:spacing w:after="0"/>
              <w:ind w:left="0"/>
              <w:jc w:val="center"/>
              <w:rPr>
                <w:rFonts w:eastAsiaTheme="minorEastAsia"/>
                <w:b/>
                <w:color w:val="FFFFFF" w:themeColor="background1"/>
                <w:sz w:val="18"/>
                <w:szCs w:val="18"/>
              </w:rPr>
            </w:pPr>
            <w:r w:rsidRPr="000851A6">
              <w:rPr>
                <w:rFonts w:eastAsiaTheme="minorEastAsia"/>
                <w:b/>
                <w:color w:val="FFFFFF" w:themeColor="background1"/>
                <w:sz w:val="18"/>
                <w:szCs w:val="18"/>
              </w:rPr>
              <w:t>In %</w:t>
            </w:r>
          </w:p>
        </w:tc>
      </w:tr>
      <w:tr w:rsidR="00D40AAD" w:rsidTr="00847C51">
        <w:trPr>
          <w:jc w:val="right"/>
        </w:trPr>
        <w:tc>
          <w:tcPr>
            <w:tcW w:w="1463" w:type="dxa"/>
            <w:tcBorders>
              <w:bottom w:val="single" w:sz="4" w:space="0" w:color="auto"/>
            </w:tcBorders>
            <w:tcMar>
              <w:top w:w="28" w:type="dxa"/>
              <w:left w:w="28" w:type="dxa"/>
              <w:bottom w:w="28" w:type="dxa"/>
              <w:right w:w="28" w:type="dxa"/>
            </w:tcMar>
            <w:vAlign w:val="center"/>
          </w:tcPr>
          <w:p w:rsidR="00D40AAD" w:rsidRPr="000851A6" w:rsidRDefault="00D40AAD" w:rsidP="0034146F">
            <w:pPr>
              <w:pStyle w:val="ListParagraph"/>
              <w:spacing w:after="0"/>
              <w:ind w:left="0"/>
              <w:jc w:val="left"/>
              <w:rPr>
                <w:rFonts w:eastAsiaTheme="minorEastAsia"/>
                <w:sz w:val="18"/>
                <w:szCs w:val="18"/>
              </w:rPr>
            </w:pPr>
            <w:r w:rsidRPr="000851A6">
              <w:rPr>
                <w:rFonts w:eastAsiaTheme="minorEastAsia"/>
                <w:sz w:val="18"/>
                <w:szCs w:val="18"/>
              </w:rPr>
              <w:t>Classes B1 to B3</w:t>
            </w:r>
          </w:p>
        </w:tc>
        <w:tc>
          <w:tcPr>
            <w:tcW w:w="1134" w:type="dxa"/>
            <w:tcBorders>
              <w:bottom w:val="single" w:sz="4" w:space="0" w:color="auto"/>
            </w:tcBorders>
            <w:tcMar>
              <w:top w:w="28" w:type="dxa"/>
              <w:left w:w="28" w:type="dxa"/>
              <w:bottom w:w="28" w:type="dxa"/>
              <w:right w:w="28" w:type="dxa"/>
            </w:tcMar>
            <w:vAlign w:val="center"/>
          </w:tcPr>
          <w:p w:rsidR="00D40AAD" w:rsidRPr="000851A6" w:rsidRDefault="00D40AAD" w:rsidP="0034146F">
            <w:pPr>
              <w:pStyle w:val="ListParagraph"/>
              <w:spacing w:after="0"/>
              <w:ind w:left="0"/>
              <w:jc w:val="center"/>
              <w:rPr>
                <w:rFonts w:eastAsiaTheme="minorEastAsia"/>
                <w:sz w:val="18"/>
                <w:szCs w:val="18"/>
              </w:rPr>
            </w:pPr>
          </w:p>
        </w:tc>
        <w:tc>
          <w:tcPr>
            <w:tcW w:w="851" w:type="dxa"/>
            <w:tcBorders>
              <w:bottom w:val="single" w:sz="4" w:space="0" w:color="auto"/>
            </w:tcBorders>
            <w:tcMar>
              <w:top w:w="28" w:type="dxa"/>
              <w:left w:w="28" w:type="dxa"/>
              <w:bottom w:w="28" w:type="dxa"/>
              <w:right w:w="28" w:type="dxa"/>
            </w:tcMar>
          </w:tcPr>
          <w:p w:rsidR="00D40AAD" w:rsidRPr="000851A6" w:rsidRDefault="00D40AAD" w:rsidP="0034146F">
            <w:pPr>
              <w:pStyle w:val="ListParagraph"/>
              <w:spacing w:after="0"/>
              <w:ind w:left="0"/>
              <w:jc w:val="center"/>
              <w:rPr>
                <w:rFonts w:eastAsiaTheme="minorEastAsia"/>
                <w:sz w:val="18"/>
                <w:szCs w:val="18"/>
              </w:rPr>
            </w:pPr>
          </w:p>
        </w:tc>
        <w:tc>
          <w:tcPr>
            <w:tcW w:w="992" w:type="dxa"/>
            <w:tcBorders>
              <w:bottom w:val="single" w:sz="4" w:space="0" w:color="auto"/>
            </w:tcBorders>
            <w:tcMar>
              <w:top w:w="28" w:type="dxa"/>
              <w:left w:w="28" w:type="dxa"/>
              <w:bottom w:w="28" w:type="dxa"/>
              <w:right w:w="28" w:type="dxa"/>
            </w:tcMar>
          </w:tcPr>
          <w:p w:rsidR="00D40AAD" w:rsidRPr="000851A6" w:rsidRDefault="00D40AAD" w:rsidP="0034146F">
            <w:pPr>
              <w:pStyle w:val="ListParagraph"/>
              <w:spacing w:after="0"/>
              <w:ind w:left="0"/>
              <w:jc w:val="center"/>
              <w:rPr>
                <w:rFonts w:eastAsiaTheme="minorEastAsia"/>
                <w:sz w:val="18"/>
                <w:szCs w:val="18"/>
              </w:rPr>
            </w:pPr>
          </w:p>
        </w:tc>
        <w:tc>
          <w:tcPr>
            <w:tcW w:w="709" w:type="dxa"/>
            <w:tcBorders>
              <w:bottom w:val="single" w:sz="4" w:space="0" w:color="auto"/>
            </w:tcBorders>
            <w:tcMar>
              <w:top w:w="28" w:type="dxa"/>
              <w:left w:w="28" w:type="dxa"/>
              <w:bottom w:w="28" w:type="dxa"/>
              <w:right w:w="28" w:type="dxa"/>
            </w:tcMar>
          </w:tcPr>
          <w:p w:rsidR="00D40AAD" w:rsidRPr="000851A6" w:rsidRDefault="00D40AAD" w:rsidP="0034146F">
            <w:pPr>
              <w:pStyle w:val="ListParagraph"/>
              <w:spacing w:after="0"/>
              <w:ind w:left="0"/>
              <w:jc w:val="center"/>
              <w:rPr>
                <w:rFonts w:eastAsiaTheme="minorEastAsia"/>
                <w:sz w:val="18"/>
                <w:szCs w:val="18"/>
              </w:rPr>
            </w:pPr>
          </w:p>
        </w:tc>
        <w:tc>
          <w:tcPr>
            <w:tcW w:w="1088" w:type="dxa"/>
            <w:tcMar>
              <w:top w:w="28" w:type="dxa"/>
              <w:left w:w="28" w:type="dxa"/>
              <w:bottom w:w="28" w:type="dxa"/>
              <w:right w:w="28" w:type="dxa"/>
            </w:tcMar>
            <w:vAlign w:val="center"/>
          </w:tcPr>
          <w:p w:rsidR="00D40AAD" w:rsidRPr="000851A6" w:rsidRDefault="00D40AAD" w:rsidP="0034146F">
            <w:pPr>
              <w:pStyle w:val="ListParagraph"/>
              <w:spacing w:after="0"/>
              <w:ind w:left="0"/>
              <w:jc w:val="center"/>
              <w:rPr>
                <w:rFonts w:eastAsiaTheme="minorEastAsia"/>
                <w:sz w:val="18"/>
                <w:szCs w:val="18"/>
              </w:rPr>
            </w:pPr>
          </w:p>
        </w:tc>
        <w:tc>
          <w:tcPr>
            <w:tcW w:w="786" w:type="dxa"/>
            <w:tcMar>
              <w:top w:w="28" w:type="dxa"/>
              <w:left w:w="28" w:type="dxa"/>
              <w:bottom w:w="28" w:type="dxa"/>
              <w:right w:w="28" w:type="dxa"/>
            </w:tcMar>
          </w:tcPr>
          <w:p w:rsidR="00D40AAD" w:rsidRPr="000851A6" w:rsidRDefault="00D40AAD" w:rsidP="0034146F">
            <w:pPr>
              <w:pStyle w:val="ListParagraph"/>
              <w:spacing w:after="0"/>
              <w:ind w:left="0"/>
              <w:jc w:val="center"/>
              <w:rPr>
                <w:rFonts w:eastAsiaTheme="minorEastAsia"/>
                <w:sz w:val="18"/>
                <w:szCs w:val="18"/>
              </w:rPr>
            </w:pPr>
          </w:p>
        </w:tc>
        <w:tc>
          <w:tcPr>
            <w:tcW w:w="851" w:type="dxa"/>
            <w:tcMar>
              <w:top w:w="28" w:type="dxa"/>
              <w:left w:w="28" w:type="dxa"/>
              <w:bottom w:w="28" w:type="dxa"/>
              <w:right w:w="28" w:type="dxa"/>
            </w:tcMar>
          </w:tcPr>
          <w:p w:rsidR="00D40AAD" w:rsidRPr="000851A6" w:rsidRDefault="00D40AAD" w:rsidP="0034146F">
            <w:pPr>
              <w:pStyle w:val="ListParagraph"/>
              <w:spacing w:after="0"/>
              <w:ind w:left="0"/>
              <w:jc w:val="center"/>
              <w:rPr>
                <w:rFonts w:eastAsiaTheme="minorEastAsia"/>
                <w:sz w:val="18"/>
                <w:szCs w:val="18"/>
              </w:rPr>
            </w:pPr>
          </w:p>
        </w:tc>
        <w:tc>
          <w:tcPr>
            <w:tcW w:w="709" w:type="dxa"/>
            <w:tcMar>
              <w:top w:w="28" w:type="dxa"/>
              <w:left w:w="28" w:type="dxa"/>
              <w:bottom w:w="28" w:type="dxa"/>
              <w:right w:w="28" w:type="dxa"/>
            </w:tcMar>
          </w:tcPr>
          <w:p w:rsidR="00D40AAD" w:rsidRPr="000851A6" w:rsidRDefault="00D40AAD" w:rsidP="0034146F">
            <w:pPr>
              <w:pStyle w:val="ListParagraph"/>
              <w:spacing w:after="0"/>
              <w:ind w:left="0"/>
              <w:jc w:val="center"/>
              <w:rPr>
                <w:rFonts w:eastAsiaTheme="minorEastAsia"/>
                <w:sz w:val="18"/>
                <w:szCs w:val="18"/>
              </w:rPr>
            </w:pPr>
          </w:p>
        </w:tc>
      </w:tr>
      <w:tr w:rsidR="000F036F" w:rsidTr="00847C51">
        <w:trPr>
          <w:jc w:val="right"/>
        </w:trPr>
        <w:tc>
          <w:tcPr>
            <w:tcW w:w="1463" w:type="dxa"/>
            <w:shd w:val="clear" w:color="auto" w:fill="DAEEF3" w:themeFill="accent5" w:themeFillTint="33"/>
            <w:tcMar>
              <w:top w:w="28" w:type="dxa"/>
              <w:left w:w="28" w:type="dxa"/>
              <w:bottom w:w="28" w:type="dxa"/>
              <w:right w:w="28" w:type="dxa"/>
            </w:tcMar>
            <w:vAlign w:val="center"/>
          </w:tcPr>
          <w:p w:rsidR="000F036F" w:rsidRPr="000851A6" w:rsidRDefault="000F036F" w:rsidP="000F036F">
            <w:pPr>
              <w:pStyle w:val="ListParagraph"/>
              <w:spacing w:after="0"/>
              <w:ind w:left="0"/>
              <w:jc w:val="left"/>
              <w:rPr>
                <w:rFonts w:eastAsiaTheme="minorEastAsia"/>
                <w:sz w:val="18"/>
                <w:szCs w:val="18"/>
              </w:rPr>
            </w:pPr>
            <w:r w:rsidRPr="000851A6">
              <w:rPr>
                <w:rFonts w:eastAsiaTheme="minorEastAsia"/>
                <w:sz w:val="18"/>
                <w:szCs w:val="18"/>
              </w:rPr>
              <w:t>Classes M1 to M2</w:t>
            </w:r>
          </w:p>
        </w:tc>
        <w:tc>
          <w:tcPr>
            <w:tcW w:w="1134" w:type="dxa"/>
            <w:shd w:val="clear" w:color="auto" w:fill="DAEEF3" w:themeFill="accent5" w:themeFillTint="33"/>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752,053</w:t>
            </w:r>
          </w:p>
        </w:tc>
        <w:tc>
          <w:tcPr>
            <w:tcW w:w="851" w:type="dxa"/>
            <w:shd w:val="clear" w:color="auto" w:fill="DAEEF3" w:themeFill="accent5" w:themeFillTint="33"/>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0.30%</w:t>
            </w:r>
          </w:p>
        </w:tc>
        <w:tc>
          <w:tcPr>
            <w:tcW w:w="992" w:type="dxa"/>
            <w:shd w:val="clear" w:color="auto" w:fill="DAEEF3" w:themeFill="accent5" w:themeFillTint="33"/>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0.00%</w:t>
            </w:r>
          </w:p>
        </w:tc>
        <w:tc>
          <w:tcPr>
            <w:tcW w:w="709" w:type="dxa"/>
            <w:shd w:val="clear" w:color="auto" w:fill="DAEEF3" w:themeFill="accent5" w:themeFillTint="33"/>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99.97%</w:t>
            </w:r>
          </w:p>
        </w:tc>
        <w:tc>
          <w:tcPr>
            <w:tcW w:w="1088" w:type="dxa"/>
            <w:tcMar>
              <w:top w:w="28" w:type="dxa"/>
              <w:left w:w="28" w:type="dxa"/>
              <w:bottom w:w="28" w:type="dxa"/>
              <w:right w:w="28" w:type="dxa"/>
            </w:tcMar>
            <w:vAlign w:val="center"/>
          </w:tcPr>
          <w:p w:rsidR="000F036F" w:rsidRPr="000851A6" w:rsidRDefault="000F036F" w:rsidP="000F036F">
            <w:pPr>
              <w:pStyle w:val="ListParagraph"/>
              <w:spacing w:after="0"/>
              <w:ind w:left="0"/>
              <w:jc w:val="center"/>
              <w:rPr>
                <w:rFonts w:eastAsiaTheme="minorEastAsia"/>
                <w:sz w:val="18"/>
                <w:szCs w:val="18"/>
              </w:rPr>
            </w:pPr>
          </w:p>
        </w:tc>
        <w:tc>
          <w:tcPr>
            <w:tcW w:w="786" w:type="dxa"/>
            <w:tcMar>
              <w:top w:w="28" w:type="dxa"/>
              <w:left w:w="28" w:type="dxa"/>
              <w:bottom w:w="28" w:type="dxa"/>
              <w:right w:w="28" w:type="dxa"/>
            </w:tcMar>
          </w:tcPr>
          <w:p w:rsidR="000F036F" w:rsidRPr="000851A6" w:rsidRDefault="000F036F" w:rsidP="000F036F">
            <w:pPr>
              <w:pStyle w:val="ListParagraph"/>
              <w:spacing w:after="0"/>
              <w:ind w:left="0"/>
              <w:jc w:val="center"/>
              <w:rPr>
                <w:rFonts w:eastAsiaTheme="minorEastAsia"/>
                <w:sz w:val="18"/>
                <w:szCs w:val="18"/>
              </w:rPr>
            </w:pPr>
          </w:p>
        </w:tc>
        <w:tc>
          <w:tcPr>
            <w:tcW w:w="851" w:type="dxa"/>
            <w:tcMar>
              <w:top w:w="28" w:type="dxa"/>
              <w:left w:w="28" w:type="dxa"/>
              <w:bottom w:w="28" w:type="dxa"/>
              <w:right w:w="28" w:type="dxa"/>
            </w:tcMar>
          </w:tcPr>
          <w:p w:rsidR="000F036F" w:rsidRPr="000851A6" w:rsidRDefault="000F036F" w:rsidP="000F036F">
            <w:pPr>
              <w:pStyle w:val="ListParagraph"/>
              <w:spacing w:after="0"/>
              <w:ind w:left="0"/>
              <w:jc w:val="center"/>
              <w:rPr>
                <w:rFonts w:eastAsiaTheme="minorEastAsia"/>
                <w:sz w:val="18"/>
                <w:szCs w:val="18"/>
              </w:rPr>
            </w:pPr>
          </w:p>
        </w:tc>
        <w:tc>
          <w:tcPr>
            <w:tcW w:w="709" w:type="dxa"/>
            <w:tcMar>
              <w:top w:w="28" w:type="dxa"/>
              <w:left w:w="28" w:type="dxa"/>
              <w:bottom w:w="28" w:type="dxa"/>
              <w:right w:w="28" w:type="dxa"/>
            </w:tcMar>
          </w:tcPr>
          <w:p w:rsidR="000F036F" w:rsidRPr="000851A6" w:rsidRDefault="000F036F" w:rsidP="000F036F">
            <w:pPr>
              <w:pStyle w:val="ListParagraph"/>
              <w:spacing w:after="0"/>
              <w:ind w:left="0"/>
              <w:jc w:val="center"/>
              <w:rPr>
                <w:rFonts w:eastAsiaTheme="minorEastAsia"/>
                <w:sz w:val="18"/>
                <w:szCs w:val="18"/>
              </w:rPr>
            </w:pPr>
          </w:p>
        </w:tc>
      </w:tr>
      <w:tr w:rsidR="000F036F" w:rsidTr="000F036F">
        <w:trPr>
          <w:jc w:val="right"/>
        </w:trPr>
        <w:tc>
          <w:tcPr>
            <w:tcW w:w="1463" w:type="dxa"/>
            <w:tcBorders>
              <w:bottom w:val="single" w:sz="4" w:space="0" w:color="auto"/>
            </w:tcBorders>
            <w:tcMar>
              <w:top w:w="28" w:type="dxa"/>
              <w:left w:w="28" w:type="dxa"/>
              <w:bottom w:w="28" w:type="dxa"/>
              <w:right w:w="28" w:type="dxa"/>
            </w:tcMar>
            <w:vAlign w:val="center"/>
          </w:tcPr>
          <w:p w:rsidR="000F036F" w:rsidRPr="000851A6" w:rsidRDefault="000F036F" w:rsidP="000F036F">
            <w:pPr>
              <w:pStyle w:val="ListParagraph"/>
              <w:spacing w:after="0"/>
              <w:ind w:left="0"/>
              <w:jc w:val="left"/>
              <w:rPr>
                <w:rFonts w:eastAsiaTheme="minorEastAsia"/>
                <w:sz w:val="18"/>
                <w:szCs w:val="18"/>
              </w:rPr>
            </w:pPr>
            <w:r w:rsidRPr="000851A6">
              <w:rPr>
                <w:rFonts w:eastAsiaTheme="minorEastAsia"/>
                <w:sz w:val="18"/>
                <w:szCs w:val="18"/>
              </w:rPr>
              <w:t>Class A1</w:t>
            </w:r>
          </w:p>
        </w:tc>
        <w:tc>
          <w:tcPr>
            <w:tcW w:w="1134"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25,029,936</w:t>
            </w:r>
          </w:p>
        </w:tc>
        <w:tc>
          <w:tcPr>
            <w:tcW w:w="851"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9.98%</w:t>
            </w:r>
          </w:p>
        </w:tc>
        <w:tc>
          <w:tcPr>
            <w:tcW w:w="992"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10.17%</w:t>
            </w:r>
          </w:p>
        </w:tc>
        <w:tc>
          <w:tcPr>
            <w:tcW w:w="709"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0.00%</w:t>
            </w:r>
          </w:p>
        </w:tc>
        <w:tc>
          <w:tcPr>
            <w:tcW w:w="1088"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24,233,024</w:t>
            </w:r>
          </w:p>
        </w:tc>
        <w:tc>
          <w:tcPr>
            <w:tcW w:w="786"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10.01%</w:t>
            </w:r>
          </w:p>
        </w:tc>
        <w:tc>
          <w:tcPr>
            <w:tcW w:w="851"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9.79%</w:t>
            </w:r>
          </w:p>
        </w:tc>
        <w:tc>
          <w:tcPr>
            <w:tcW w:w="709"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10.17%</w:t>
            </w:r>
          </w:p>
        </w:tc>
      </w:tr>
      <w:tr w:rsidR="000F036F" w:rsidTr="00363F1F">
        <w:trPr>
          <w:jc w:val="right"/>
        </w:trPr>
        <w:tc>
          <w:tcPr>
            <w:tcW w:w="1463" w:type="dxa"/>
            <w:tcBorders>
              <w:bottom w:val="single" w:sz="4" w:space="0" w:color="auto"/>
            </w:tcBorders>
            <w:tcMar>
              <w:top w:w="28" w:type="dxa"/>
              <w:left w:w="28" w:type="dxa"/>
              <w:bottom w:w="28" w:type="dxa"/>
              <w:right w:w="28" w:type="dxa"/>
            </w:tcMar>
            <w:vAlign w:val="center"/>
          </w:tcPr>
          <w:p w:rsidR="000F036F" w:rsidRPr="000851A6" w:rsidRDefault="000F036F" w:rsidP="000F036F">
            <w:pPr>
              <w:pStyle w:val="ListParagraph"/>
              <w:spacing w:after="0"/>
              <w:ind w:left="0"/>
              <w:jc w:val="left"/>
              <w:rPr>
                <w:rFonts w:eastAsiaTheme="minorEastAsia"/>
                <w:sz w:val="18"/>
                <w:szCs w:val="18"/>
              </w:rPr>
            </w:pPr>
            <w:r w:rsidRPr="000851A6">
              <w:rPr>
                <w:rFonts w:eastAsiaTheme="minorEastAsia"/>
                <w:sz w:val="18"/>
                <w:szCs w:val="18"/>
              </w:rPr>
              <w:t>Class A3</w:t>
            </w:r>
          </w:p>
        </w:tc>
        <w:tc>
          <w:tcPr>
            <w:tcW w:w="1134"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37,306,000</w:t>
            </w:r>
          </w:p>
        </w:tc>
        <w:tc>
          <w:tcPr>
            <w:tcW w:w="851"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14.87%</w:t>
            </w:r>
          </w:p>
        </w:tc>
        <w:tc>
          <w:tcPr>
            <w:tcW w:w="992"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0.00%</w:t>
            </w:r>
          </w:p>
        </w:tc>
        <w:tc>
          <w:tcPr>
            <w:tcW w:w="709"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0.00%</w:t>
            </w:r>
          </w:p>
        </w:tc>
        <w:tc>
          <w:tcPr>
            <w:tcW w:w="1088"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36,300,621</w:t>
            </w:r>
          </w:p>
        </w:tc>
        <w:tc>
          <w:tcPr>
            <w:tcW w:w="786"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15.00%</w:t>
            </w:r>
          </w:p>
        </w:tc>
        <w:tc>
          <w:tcPr>
            <w:tcW w:w="851"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14.59%</w:t>
            </w:r>
          </w:p>
        </w:tc>
        <w:tc>
          <w:tcPr>
            <w:tcW w:w="709"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0.00%</w:t>
            </w:r>
          </w:p>
        </w:tc>
      </w:tr>
      <w:tr w:rsidR="000F036F" w:rsidTr="00363F1F">
        <w:trPr>
          <w:jc w:val="right"/>
        </w:trPr>
        <w:tc>
          <w:tcPr>
            <w:tcW w:w="1463" w:type="dxa"/>
            <w:tcBorders>
              <w:bottom w:val="single" w:sz="4" w:space="0" w:color="auto"/>
            </w:tcBorders>
            <w:shd w:val="clear" w:color="auto" w:fill="FDE9D9" w:themeFill="accent6" w:themeFillTint="33"/>
            <w:tcMar>
              <w:top w:w="28" w:type="dxa"/>
              <w:left w:w="28" w:type="dxa"/>
              <w:bottom w:w="28" w:type="dxa"/>
              <w:right w:w="28" w:type="dxa"/>
            </w:tcMar>
            <w:vAlign w:val="center"/>
          </w:tcPr>
          <w:p w:rsidR="000F036F" w:rsidRPr="000851A6" w:rsidRDefault="000F036F" w:rsidP="000F036F">
            <w:pPr>
              <w:pStyle w:val="ListParagraph"/>
              <w:spacing w:after="0"/>
              <w:ind w:left="0"/>
              <w:jc w:val="left"/>
              <w:rPr>
                <w:rFonts w:eastAsiaTheme="minorEastAsia"/>
                <w:sz w:val="18"/>
                <w:szCs w:val="18"/>
              </w:rPr>
            </w:pPr>
            <w:r>
              <w:rPr>
                <w:rFonts w:eastAsiaTheme="minorEastAsia"/>
                <w:sz w:val="18"/>
                <w:szCs w:val="18"/>
              </w:rPr>
              <w:t>Class</w:t>
            </w:r>
            <w:r>
              <w:rPr>
                <w:rFonts w:eastAsiaTheme="minorEastAsia"/>
                <w:sz w:val="18"/>
                <w:szCs w:val="18"/>
              </w:rPr>
              <w:t xml:space="preserve"> A4</w:t>
            </w:r>
          </w:p>
        </w:tc>
        <w:tc>
          <w:tcPr>
            <w:tcW w:w="1134" w:type="dxa"/>
            <w:tcBorders>
              <w:bottom w:val="single" w:sz="4" w:space="0" w:color="auto"/>
            </w:tcBorders>
            <w:shd w:val="clear" w:color="auto" w:fill="FDE9D9" w:themeFill="accent6" w:themeFillTint="33"/>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480,000</w:t>
            </w:r>
          </w:p>
        </w:tc>
        <w:tc>
          <w:tcPr>
            <w:tcW w:w="851" w:type="dxa"/>
            <w:tcBorders>
              <w:bottom w:val="single" w:sz="4" w:space="0" w:color="auto"/>
            </w:tcBorders>
            <w:shd w:val="clear" w:color="auto" w:fill="FDE9D9" w:themeFill="accent6" w:themeFillTint="33"/>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0.19%</w:t>
            </w:r>
          </w:p>
        </w:tc>
        <w:tc>
          <w:tcPr>
            <w:tcW w:w="992" w:type="dxa"/>
            <w:tcBorders>
              <w:bottom w:val="single" w:sz="4" w:space="0" w:color="auto"/>
            </w:tcBorders>
            <w:shd w:val="clear" w:color="auto" w:fill="FDE9D9" w:themeFill="accent6" w:themeFillTint="33"/>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0.00%</w:t>
            </w:r>
          </w:p>
        </w:tc>
        <w:tc>
          <w:tcPr>
            <w:tcW w:w="709" w:type="dxa"/>
            <w:tcBorders>
              <w:bottom w:val="single" w:sz="4" w:space="0" w:color="auto"/>
            </w:tcBorders>
            <w:shd w:val="clear" w:color="auto" w:fill="FDE9D9" w:themeFill="accent6" w:themeFillTint="33"/>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0.00%</w:t>
            </w:r>
          </w:p>
        </w:tc>
        <w:tc>
          <w:tcPr>
            <w:tcW w:w="1088" w:type="dxa"/>
            <w:tcBorders>
              <w:bottom w:val="single" w:sz="4" w:space="0" w:color="auto"/>
            </w:tcBorders>
            <w:shd w:val="clear" w:color="auto" w:fill="FDE9D9" w:themeFill="accent6" w:themeFillTint="33"/>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234,363</w:t>
            </w:r>
          </w:p>
        </w:tc>
        <w:tc>
          <w:tcPr>
            <w:tcW w:w="786" w:type="dxa"/>
            <w:tcBorders>
              <w:bottom w:val="single" w:sz="4" w:space="0" w:color="auto"/>
            </w:tcBorders>
            <w:shd w:val="clear" w:color="auto" w:fill="FDE9D9" w:themeFill="accent6" w:themeFillTint="33"/>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0.10%</w:t>
            </w:r>
          </w:p>
        </w:tc>
        <w:tc>
          <w:tcPr>
            <w:tcW w:w="851" w:type="dxa"/>
            <w:tcBorders>
              <w:bottom w:val="single" w:sz="4" w:space="0" w:color="auto"/>
            </w:tcBorders>
            <w:shd w:val="clear" w:color="auto" w:fill="FDE9D9" w:themeFill="accent6" w:themeFillTint="33"/>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0.19%</w:t>
            </w:r>
          </w:p>
        </w:tc>
        <w:tc>
          <w:tcPr>
            <w:tcW w:w="709" w:type="dxa"/>
            <w:tcBorders>
              <w:bottom w:val="single" w:sz="4" w:space="0" w:color="auto"/>
            </w:tcBorders>
            <w:shd w:val="clear" w:color="auto" w:fill="FDE9D9" w:themeFill="accent6" w:themeFillTint="33"/>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19.34%</w:t>
            </w:r>
          </w:p>
        </w:tc>
      </w:tr>
      <w:tr w:rsidR="000F036F" w:rsidTr="000F036F">
        <w:trPr>
          <w:jc w:val="right"/>
        </w:trPr>
        <w:tc>
          <w:tcPr>
            <w:tcW w:w="1463" w:type="dxa"/>
            <w:tcBorders>
              <w:bottom w:val="single" w:sz="4" w:space="0" w:color="auto"/>
            </w:tcBorders>
            <w:tcMar>
              <w:top w:w="28" w:type="dxa"/>
              <w:left w:w="28" w:type="dxa"/>
              <w:bottom w:w="28" w:type="dxa"/>
              <w:right w:w="28" w:type="dxa"/>
            </w:tcMar>
            <w:vAlign w:val="center"/>
          </w:tcPr>
          <w:p w:rsidR="000F036F" w:rsidRPr="000851A6" w:rsidRDefault="000F036F" w:rsidP="000F036F">
            <w:pPr>
              <w:pStyle w:val="ListParagraph"/>
              <w:spacing w:after="0"/>
              <w:ind w:left="0"/>
              <w:jc w:val="left"/>
              <w:rPr>
                <w:rFonts w:eastAsiaTheme="minorEastAsia"/>
                <w:sz w:val="18"/>
                <w:szCs w:val="18"/>
              </w:rPr>
            </w:pPr>
            <w:r w:rsidRPr="000851A6">
              <w:rPr>
                <w:rFonts w:eastAsiaTheme="minorEastAsia"/>
                <w:sz w:val="18"/>
                <w:szCs w:val="18"/>
              </w:rPr>
              <w:t>Class A5</w:t>
            </w:r>
          </w:p>
        </w:tc>
        <w:tc>
          <w:tcPr>
            <w:tcW w:w="1134"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1,655,847</w:t>
            </w:r>
          </w:p>
        </w:tc>
        <w:tc>
          <w:tcPr>
            <w:tcW w:w="851"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0.66%</w:t>
            </w:r>
          </w:p>
        </w:tc>
        <w:tc>
          <w:tcPr>
            <w:tcW w:w="992"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66.39%</w:t>
            </w:r>
          </w:p>
        </w:tc>
        <w:tc>
          <w:tcPr>
            <w:tcW w:w="709"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0.00%</w:t>
            </w:r>
          </w:p>
        </w:tc>
        <w:tc>
          <w:tcPr>
            <w:tcW w:w="1088"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1,611,223</w:t>
            </w:r>
          </w:p>
        </w:tc>
        <w:tc>
          <w:tcPr>
            <w:tcW w:w="786"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0.67%</w:t>
            </w:r>
          </w:p>
        </w:tc>
        <w:tc>
          <w:tcPr>
            <w:tcW w:w="851"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0.65%</w:t>
            </w:r>
          </w:p>
        </w:tc>
        <w:tc>
          <w:tcPr>
            <w:tcW w:w="709"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0.00%</w:t>
            </w:r>
          </w:p>
        </w:tc>
      </w:tr>
      <w:tr w:rsidR="000F036F" w:rsidTr="000F036F">
        <w:trPr>
          <w:jc w:val="right"/>
        </w:trPr>
        <w:tc>
          <w:tcPr>
            <w:tcW w:w="1463" w:type="dxa"/>
            <w:tcBorders>
              <w:bottom w:val="single" w:sz="4" w:space="0" w:color="auto"/>
            </w:tcBorders>
            <w:tcMar>
              <w:top w:w="28" w:type="dxa"/>
              <w:left w:w="28" w:type="dxa"/>
              <w:bottom w:w="28" w:type="dxa"/>
              <w:right w:w="28" w:type="dxa"/>
            </w:tcMar>
            <w:vAlign w:val="center"/>
          </w:tcPr>
          <w:p w:rsidR="000F036F" w:rsidRPr="000851A6" w:rsidRDefault="000F036F" w:rsidP="000F036F">
            <w:pPr>
              <w:pStyle w:val="ListParagraph"/>
              <w:spacing w:after="0"/>
              <w:ind w:left="0"/>
              <w:jc w:val="left"/>
              <w:rPr>
                <w:rFonts w:eastAsiaTheme="minorEastAsia"/>
                <w:sz w:val="18"/>
                <w:szCs w:val="18"/>
              </w:rPr>
            </w:pPr>
            <w:r w:rsidRPr="000851A6">
              <w:rPr>
                <w:rFonts w:eastAsiaTheme="minorEastAsia"/>
                <w:sz w:val="18"/>
                <w:szCs w:val="18"/>
              </w:rPr>
              <w:t>Class A6</w:t>
            </w:r>
          </w:p>
        </w:tc>
        <w:tc>
          <w:tcPr>
            <w:tcW w:w="1134"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8,907,853</w:t>
            </w:r>
          </w:p>
        </w:tc>
        <w:tc>
          <w:tcPr>
            <w:tcW w:w="851"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3.55%</w:t>
            </w:r>
          </w:p>
        </w:tc>
        <w:tc>
          <w:tcPr>
            <w:tcW w:w="992"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10.89%</w:t>
            </w:r>
          </w:p>
        </w:tc>
        <w:tc>
          <w:tcPr>
            <w:tcW w:w="709"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0.00%</w:t>
            </w:r>
          </w:p>
        </w:tc>
        <w:tc>
          <w:tcPr>
            <w:tcW w:w="1088"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8,667,790</w:t>
            </w:r>
          </w:p>
        </w:tc>
        <w:tc>
          <w:tcPr>
            <w:tcW w:w="786"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3.58%</w:t>
            </w:r>
          </w:p>
        </w:tc>
        <w:tc>
          <w:tcPr>
            <w:tcW w:w="851"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3.48%</w:t>
            </w:r>
          </w:p>
        </w:tc>
        <w:tc>
          <w:tcPr>
            <w:tcW w:w="709"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0.00%</w:t>
            </w:r>
          </w:p>
        </w:tc>
      </w:tr>
      <w:tr w:rsidR="000F036F" w:rsidTr="00363F1F">
        <w:trPr>
          <w:jc w:val="right"/>
        </w:trPr>
        <w:tc>
          <w:tcPr>
            <w:tcW w:w="1463" w:type="dxa"/>
            <w:tcBorders>
              <w:bottom w:val="single" w:sz="4" w:space="0" w:color="auto"/>
            </w:tcBorders>
            <w:tcMar>
              <w:top w:w="28" w:type="dxa"/>
              <w:left w:w="28" w:type="dxa"/>
              <w:bottom w:w="28" w:type="dxa"/>
              <w:right w:w="28" w:type="dxa"/>
            </w:tcMar>
            <w:vAlign w:val="center"/>
          </w:tcPr>
          <w:p w:rsidR="000F036F" w:rsidRPr="000851A6" w:rsidRDefault="000F036F" w:rsidP="000F036F">
            <w:pPr>
              <w:pStyle w:val="ListParagraph"/>
              <w:spacing w:after="0"/>
              <w:ind w:left="0"/>
              <w:jc w:val="left"/>
              <w:rPr>
                <w:rFonts w:eastAsiaTheme="minorEastAsia"/>
                <w:sz w:val="18"/>
                <w:szCs w:val="18"/>
              </w:rPr>
            </w:pPr>
            <w:r w:rsidRPr="000851A6">
              <w:rPr>
                <w:rFonts w:eastAsiaTheme="minorEastAsia"/>
                <w:sz w:val="18"/>
                <w:szCs w:val="18"/>
              </w:rPr>
              <w:t>Class A7</w:t>
            </w:r>
          </w:p>
        </w:tc>
        <w:tc>
          <w:tcPr>
            <w:tcW w:w="1134"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49,528,000</w:t>
            </w:r>
          </w:p>
        </w:tc>
        <w:tc>
          <w:tcPr>
            <w:tcW w:w="851"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19.74%</w:t>
            </w:r>
          </w:p>
        </w:tc>
        <w:tc>
          <w:tcPr>
            <w:tcW w:w="992"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0.00%</w:t>
            </w:r>
          </w:p>
        </w:tc>
        <w:tc>
          <w:tcPr>
            <w:tcW w:w="709"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0.00%</w:t>
            </w:r>
          </w:p>
        </w:tc>
        <w:tc>
          <w:tcPr>
            <w:tcW w:w="1088"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48,193,244</w:t>
            </w:r>
          </w:p>
        </w:tc>
        <w:tc>
          <w:tcPr>
            <w:tcW w:w="786"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19.91%</w:t>
            </w:r>
          </w:p>
        </w:tc>
        <w:tc>
          <w:tcPr>
            <w:tcW w:w="851"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19.38%</w:t>
            </w:r>
          </w:p>
        </w:tc>
        <w:tc>
          <w:tcPr>
            <w:tcW w:w="709"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0.00%</w:t>
            </w:r>
          </w:p>
        </w:tc>
      </w:tr>
      <w:tr w:rsidR="000F036F" w:rsidTr="00363F1F">
        <w:trPr>
          <w:jc w:val="right"/>
        </w:trPr>
        <w:tc>
          <w:tcPr>
            <w:tcW w:w="1463" w:type="dxa"/>
            <w:tcBorders>
              <w:bottom w:val="single" w:sz="4" w:space="0" w:color="auto"/>
            </w:tcBorders>
            <w:shd w:val="clear" w:color="auto" w:fill="FDE9D9" w:themeFill="accent6" w:themeFillTint="33"/>
            <w:tcMar>
              <w:top w:w="28" w:type="dxa"/>
              <w:left w:w="28" w:type="dxa"/>
              <w:bottom w:w="28" w:type="dxa"/>
              <w:right w:w="28" w:type="dxa"/>
            </w:tcMar>
            <w:vAlign w:val="center"/>
          </w:tcPr>
          <w:p w:rsidR="000F036F" w:rsidRPr="000851A6" w:rsidRDefault="000F036F" w:rsidP="000F036F">
            <w:pPr>
              <w:pStyle w:val="ListParagraph"/>
              <w:spacing w:after="0"/>
              <w:ind w:left="0"/>
              <w:jc w:val="left"/>
              <w:rPr>
                <w:rFonts w:eastAsiaTheme="minorEastAsia"/>
                <w:sz w:val="18"/>
                <w:szCs w:val="18"/>
              </w:rPr>
            </w:pPr>
            <w:r>
              <w:rPr>
                <w:rFonts w:eastAsiaTheme="minorEastAsia"/>
                <w:sz w:val="18"/>
                <w:szCs w:val="18"/>
              </w:rPr>
              <w:t>Class A9</w:t>
            </w:r>
          </w:p>
        </w:tc>
        <w:tc>
          <w:tcPr>
            <w:tcW w:w="1134" w:type="dxa"/>
            <w:tcBorders>
              <w:bottom w:val="single" w:sz="4" w:space="0" w:color="auto"/>
            </w:tcBorders>
            <w:shd w:val="clear" w:color="auto" w:fill="FDE9D9" w:themeFill="accent6" w:themeFillTint="33"/>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13,144,210</w:t>
            </w:r>
          </w:p>
        </w:tc>
        <w:tc>
          <w:tcPr>
            <w:tcW w:w="851" w:type="dxa"/>
            <w:tcBorders>
              <w:bottom w:val="single" w:sz="4" w:space="0" w:color="auto"/>
            </w:tcBorders>
            <w:shd w:val="clear" w:color="auto" w:fill="FDE9D9" w:themeFill="accent6" w:themeFillTint="33"/>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5.24%</w:t>
            </w:r>
          </w:p>
        </w:tc>
        <w:tc>
          <w:tcPr>
            <w:tcW w:w="992" w:type="dxa"/>
            <w:tcBorders>
              <w:bottom w:val="single" w:sz="4" w:space="0" w:color="auto"/>
            </w:tcBorders>
            <w:shd w:val="clear" w:color="auto" w:fill="FDE9D9" w:themeFill="accent6" w:themeFillTint="33"/>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12.29%</w:t>
            </w:r>
          </w:p>
        </w:tc>
        <w:tc>
          <w:tcPr>
            <w:tcW w:w="709" w:type="dxa"/>
            <w:tcBorders>
              <w:bottom w:val="single" w:sz="4" w:space="0" w:color="auto"/>
            </w:tcBorders>
            <w:shd w:val="clear" w:color="auto" w:fill="FDE9D9" w:themeFill="accent6" w:themeFillTint="33"/>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0.00%</w:t>
            </w:r>
          </w:p>
        </w:tc>
        <w:tc>
          <w:tcPr>
            <w:tcW w:w="1088" w:type="dxa"/>
            <w:tcBorders>
              <w:bottom w:val="single" w:sz="4" w:space="0" w:color="auto"/>
            </w:tcBorders>
            <w:shd w:val="clear" w:color="auto" w:fill="FDE9D9" w:themeFill="accent6" w:themeFillTint="33"/>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12,431,941</w:t>
            </w:r>
          </w:p>
        </w:tc>
        <w:tc>
          <w:tcPr>
            <w:tcW w:w="786" w:type="dxa"/>
            <w:tcBorders>
              <w:bottom w:val="single" w:sz="4" w:space="0" w:color="auto"/>
            </w:tcBorders>
            <w:shd w:val="clear" w:color="auto" w:fill="FDE9D9" w:themeFill="accent6" w:themeFillTint="33"/>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5.14%</w:t>
            </w:r>
          </w:p>
        </w:tc>
        <w:tc>
          <w:tcPr>
            <w:tcW w:w="851" w:type="dxa"/>
            <w:tcBorders>
              <w:bottom w:val="single" w:sz="4" w:space="0" w:color="auto"/>
            </w:tcBorders>
            <w:shd w:val="clear" w:color="auto" w:fill="FDE9D9" w:themeFill="accent6" w:themeFillTint="33"/>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5.14%</w:t>
            </w:r>
          </w:p>
        </w:tc>
        <w:tc>
          <w:tcPr>
            <w:tcW w:w="709" w:type="dxa"/>
            <w:tcBorders>
              <w:bottom w:val="single" w:sz="4" w:space="0" w:color="auto"/>
            </w:tcBorders>
            <w:shd w:val="clear" w:color="auto" w:fill="FDE9D9" w:themeFill="accent6" w:themeFillTint="33"/>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29.75%</w:t>
            </w:r>
          </w:p>
        </w:tc>
      </w:tr>
      <w:tr w:rsidR="000F036F" w:rsidTr="000F036F">
        <w:trPr>
          <w:jc w:val="right"/>
        </w:trPr>
        <w:tc>
          <w:tcPr>
            <w:tcW w:w="1463" w:type="dxa"/>
            <w:tcBorders>
              <w:bottom w:val="single" w:sz="4" w:space="0" w:color="auto"/>
            </w:tcBorders>
            <w:tcMar>
              <w:top w:w="28" w:type="dxa"/>
              <w:left w:w="28" w:type="dxa"/>
              <w:bottom w:w="28" w:type="dxa"/>
              <w:right w:w="28" w:type="dxa"/>
            </w:tcMar>
            <w:vAlign w:val="center"/>
          </w:tcPr>
          <w:p w:rsidR="000F036F" w:rsidRPr="000851A6" w:rsidRDefault="000F036F" w:rsidP="000F036F">
            <w:pPr>
              <w:pStyle w:val="ListParagraph"/>
              <w:spacing w:after="0"/>
              <w:ind w:left="0"/>
              <w:jc w:val="left"/>
              <w:rPr>
                <w:rFonts w:eastAsiaTheme="minorEastAsia"/>
                <w:sz w:val="18"/>
                <w:szCs w:val="18"/>
              </w:rPr>
            </w:pPr>
            <w:r>
              <w:rPr>
                <w:rFonts w:eastAsiaTheme="minorEastAsia"/>
                <w:sz w:val="18"/>
                <w:szCs w:val="18"/>
              </w:rPr>
              <w:t>Class A10</w:t>
            </w:r>
          </w:p>
        </w:tc>
        <w:tc>
          <w:tcPr>
            <w:tcW w:w="1134"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9,812,500</w:t>
            </w:r>
          </w:p>
        </w:tc>
        <w:tc>
          <w:tcPr>
            <w:tcW w:w="851"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3.91%</w:t>
            </w:r>
          </w:p>
        </w:tc>
        <w:tc>
          <w:tcPr>
            <w:tcW w:w="992"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0.00%</w:t>
            </w:r>
          </w:p>
        </w:tc>
        <w:tc>
          <w:tcPr>
            <w:tcW w:w="709"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0.00%</w:t>
            </w:r>
          </w:p>
        </w:tc>
        <w:tc>
          <w:tcPr>
            <w:tcW w:w="1088"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9,500,086</w:t>
            </w:r>
          </w:p>
        </w:tc>
        <w:tc>
          <w:tcPr>
            <w:tcW w:w="786"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3.93%</w:t>
            </w:r>
          </w:p>
        </w:tc>
        <w:tc>
          <w:tcPr>
            <w:tcW w:w="851"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3.84%</w:t>
            </w:r>
          </w:p>
        </w:tc>
        <w:tc>
          <w:tcPr>
            <w:tcW w:w="709" w:type="dxa"/>
            <w:tcBorders>
              <w:bottom w:val="single" w:sz="4" w:space="0" w:color="auto"/>
            </w:tcBorders>
            <w:tcMar>
              <w:top w:w="28" w:type="dxa"/>
              <w:left w:w="28" w:type="dxa"/>
              <w:bottom w:w="28" w:type="dxa"/>
              <w:right w:w="28" w:type="dxa"/>
            </w:tcMar>
            <w:vAlign w:val="center"/>
          </w:tcPr>
          <w:p w:rsidR="000F036F" w:rsidRDefault="00A90B60" w:rsidP="000F036F">
            <w:pPr>
              <w:spacing w:after="0"/>
              <w:jc w:val="center"/>
              <w:rPr>
                <w:rFonts w:ascii="Calibri" w:hAnsi="Calibri" w:cs="Calibri"/>
                <w:color w:val="000000"/>
                <w:sz w:val="18"/>
                <w:szCs w:val="18"/>
              </w:rPr>
            </w:pPr>
            <w:r>
              <w:rPr>
                <w:rFonts w:ascii="Calibri" w:hAnsi="Calibri" w:cs="Calibri"/>
                <w:color w:val="000000"/>
                <w:sz w:val="18"/>
                <w:szCs w:val="18"/>
              </w:rPr>
              <w:t>3.99</w:t>
            </w:r>
            <w:r w:rsidR="000F036F">
              <w:rPr>
                <w:rFonts w:ascii="Calibri" w:hAnsi="Calibri" w:cs="Calibri"/>
                <w:color w:val="000000"/>
                <w:sz w:val="18"/>
                <w:szCs w:val="18"/>
              </w:rPr>
              <w:t>%</w:t>
            </w:r>
          </w:p>
        </w:tc>
      </w:tr>
      <w:tr w:rsidR="000F036F" w:rsidTr="000F036F">
        <w:trPr>
          <w:jc w:val="right"/>
        </w:trPr>
        <w:tc>
          <w:tcPr>
            <w:tcW w:w="1463" w:type="dxa"/>
            <w:tcBorders>
              <w:bottom w:val="single" w:sz="4" w:space="0" w:color="auto"/>
            </w:tcBorders>
            <w:tcMar>
              <w:top w:w="28" w:type="dxa"/>
              <w:left w:w="28" w:type="dxa"/>
              <w:bottom w:w="28" w:type="dxa"/>
              <w:right w:w="28" w:type="dxa"/>
            </w:tcMar>
            <w:vAlign w:val="center"/>
          </w:tcPr>
          <w:p w:rsidR="000F036F" w:rsidRPr="000851A6" w:rsidRDefault="000F036F" w:rsidP="000F036F">
            <w:pPr>
              <w:pStyle w:val="ListParagraph"/>
              <w:spacing w:after="0"/>
              <w:ind w:left="0"/>
              <w:jc w:val="left"/>
              <w:rPr>
                <w:rFonts w:eastAsiaTheme="minorEastAsia"/>
                <w:sz w:val="18"/>
                <w:szCs w:val="18"/>
              </w:rPr>
            </w:pPr>
            <w:r>
              <w:rPr>
                <w:rFonts w:eastAsiaTheme="minorEastAsia"/>
                <w:sz w:val="18"/>
                <w:szCs w:val="18"/>
              </w:rPr>
              <w:t>Class A11</w:t>
            </w:r>
          </w:p>
        </w:tc>
        <w:tc>
          <w:tcPr>
            <w:tcW w:w="1134"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9,812,500</w:t>
            </w:r>
          </w:p>
        </w:tc>
        <w:tc>
          <w:tcPr>
            <w:tcW w:w="851"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3.91%</w:t>
            </w:r>
          </w:p>
        </w:tc>
        <w:tc>
          <w:tcPr>
            <w:tcW w:w="992"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0.00%</w:t>
            </w:r>
          </w:p>
        </w:tc>
        <w:tc>
          <w:tcPr>
            <w:tcW w:w="709"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0.00%</w:t>
            </w:r>
          </w:p>
        </w:tc>
        <w:tc>
          <w:tcPr>
            <w:tcW w:w="1088"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9,548,058</w:t>
            </w:r>
          </w:p>
        </w:tc>
        <w:tc>
          <w:tcPr>
            <w:tcW w:w="786"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3.94%</w:t>
            </w:r>
          </w:p>
        </w:tc>
        <w:tc>
          <w:tcPr>
            <w:tcW w:w="851"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3.84%</w:t>
            </w:r>
          </w:p>
        </w:tc>
        <w:tc>
          <w:tcPr>
            <w:tcW w:w="709"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0.00%</w:t>
            </w:r>
          </w:p>
        </w:tc>
      </w:tr>
      <w:tr w:rsidR="000F036F" w:rsidTr="000F036F">
        <w:trPr>
          <w:jc w:val="right"/>
        </w:trPr>
        <w:tc>
          <w:tcPr>
            <w:tcW w:w="1463" w:type="dxa"/>
            <w:tcBorders>
              <w:bottom w:val="single" w:sz="4" w:space="0" w:color="auto"/>
            </w:tcBorders>
            <w:tcMar>
              <w:top w:w="28" w:type="dxa"/>
              <w:left w:w="28" w:type="dxa"/>
              <w:bottom w:w="28" w:type="dxa"/>
              <w:right w:w="28" w:type="dxa"/>
            </w:tcMar>
            <w:vAlign w:val="center"/>
          </w:tcPr>
          <w:p w:rsidR="000F036F" w:rsidRPr="000851A6" w:rsidRDefault="000F036F" w:rsidP="000F036F">
            <w:pPr>
              <w:pStyle w:val="ListParagraph"/>
              <w:spacing w:after="0"/>
              <w:ind w:left="0"/>
              <w:jc w:val="left"/>
              <w:rPr>
                <w:rFonts w:eastAsiaTheme="minorEastAsia"/>
                <w:sz w:val="18"/>
                <w:szCs w:val="18"/>
              </w:rPr>
            </w:pPr>
            <w:r>
              <w:rPr>
                <w:rFonts w:eastAsiaTheme="minorEastAsia"/>
                <w:sz w:val="18"/>
                <w:szCs w:val="18"/>
              </w:rPr>
              <w:t>Class A12</w:t>
            </w:r>
          </w:p>
        </w:tc>
        <w:tc>
          <w:tcPr>
            <w:tcW w:w="1134"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6,413,000</w:t>
            </w:r>
          </w:p>
        </w:tc>
        <w:tc>
          <w:tcPr>
            <w:tcW w:w="851"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2.56%</w:t>
            </w:r>
          </w:p>
        </w:tc>
        <w:tc>
          <w:tcPr>
            <w:tcW w:w="992"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0.00%</w:t>
            </w:r>
          </w:p>
        </w:tc>
        <w:tc>
          <w:tcPr>
            <w:tcW w:w="709"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0.00%</w:t>
            </w:r>
          </w:p>
        </w:tc>
        <w:tc>
          <w:tcPr>
            <w:tcW w:w="1088"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6,208,821</w:t>
            </w:r>
          </w:p>
        </w:tc>
        <w:tc>
          <w:tcPr>
            <w:tcW w:w="786"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2.57%</w:t>
            </w:r>
          </w:p>
        </w:tc>
        <w:tc>
          <w:tcPr>
            <w:tcW w:w="851"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2.51%</w:t>
            </w:r>
          </w:p>
        </w:tc>
        <w:tc>
          <w:tcPr>
            <w:tcW w:w="709"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2.61%</w:t>
            </w:r>
          </w:p>
        </w:tc>
      </w:tr>
      <w:tr w:rsidR="000F036F" w:rsidTr="000F16FD">
        <w:trPr>
          <w:jc w:val="right"/>
        </w:trPr>
        <w:tc>
          <w:tcPr>
            <w:tcW w:w="1463" w:type="dxa"/>
            <w:tcBorders>
              <w:bottom w:val="single" w:sz="4" w:space="0" w:color="auto"/>
            </w:tcBorders>
            <w:tcMar>
              <w:top w:w="28" w:type="dxa"/>
              <w:left w:w="28" w:type="dxa"/>
              <w:bottom w:w="28" w:type="dxa"/>
              <w:right w:w="28" w:type="dxa"/>
            </w:tcMar>
            <w:vAlign w:val="center"/>
          </w:tcPr>
          <w:p w:rsidR="000F036F" w:rsidRPr="000851A6" w:rsidRDefault="000F036F" w:rsidP="000F036F">
            <w:pPr>
              <w:pStyle w:val="ListParagraph"/>
              <w:spacing w:after="0"/>
              <w:ind w:left="0"/>
              <w:jc w:val="left"/>
              <w:rPr>
                <w:rFonts w:eastAsiaTheme="minorEastAsia"/>
                <w:sz w:val="18"/>
                <w:szCs w:val="18"/>
              </w:rPr>
            </w:pPr>
            <w:r w:rsidRPr="000851A6">
              <w:rPr>
                <w:rFonts w:eastAsiaTheme="minorEastAsia"/>
                <w:sz w:val="18"/>
                <w:szCs w:val="18"/>
              </w:rPr>
              <w:t>Class A13</w:t>
            </w:r>
          </w:p>
        </w:tc>
        <w:tc>
          <w:tcPr>
            <w:tcW w:w="1134"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83,378,232</w:t>
            </w:r>
          </w:p>
        </w:tc>
        <w:tc>
          <w:tcPr>
            <w:tcW w:w="851"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33.23%</w:t>
            </w:r>
          </w:p>
        </w:tc>
        <w:tc>
          <w:tcPr>
            <w:tcW w:w="992"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0.00%</w:t>
            </w:r>
          </w:p>
        </w:tc>
        <w:tc>
          <w:tcPr>
            <w:tcW w:w="709"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0.00%</w:t>
            </w:r>
          </w:p>
        </w:tc>
        <w:tc>
          <w:tcPr>
            <w:tcW w:w="1088"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80,723,606</w:t>
            </w:r>
          </w:p>
        </w:tc>
        <w:tc>
          <w:tcPr>
            <w:tcW w:w="786"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33.35%</w:t>
            </w:r>
          </w:p>
        </w:tc>
        <w:tc>
          <w:tcPr>
            <w:tcW w:w="851"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32.62%</w:t>
            </w:r>
          </w:p>
        </w:tc>
        <w:tc>
          <w:tcPr>
            <w:tcW w:w="709"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33.88%</w:t>
            </w:r>
          </w:p>
        </w:tc>
      </w:tr>
      <w:tr w:rsidR="000F036F" w:rsidTr="000F16FD">
        <w:trPr>
          <w:jc w:val="right"/>
        </w:trPr>
        <w:tc>
          <w:tcPr>
            <w:tcW w:w="1463" w:type="dxa"/>
            <w:tcBorders>
              <w:bottom w:val="single" w:sz="4" w:space="0" w:color="auto"/>
            </w:tcBorders>
            <w:shd w:val="clear" w:color="auto" w:fill="auto"/>
            <w:tcMar>
              <w:top w:w="28" w:type="dxa"/>
              <w:left w:w="28" w:type="dxa"/>
              <w:bottom w:w="28" w:type="dxa"/>
              <w:right w:w="28" w:type="dxa"/>
            </w:tcMar>
            <w:vAlign w:val="center"/>
          </w:tcPr>
          <w:p w:rsidR="000F036F" w:rsidRPr="000851A6" w:rsidRDefault="000F036F" w:rsidP="000F036F">
            <w:pPr>
              <w:pStyle w:val="ListParagraph"/>
              <w:spacing w:after="0"/>
              <w:ind w:left="0"/>
              <w:jc w:val="left"/>
              <w:rPr>
                <w:rFonts w:eastAsiaTheme="minorEastAsia"/>
                <w:sz w:val="18"/>
                <w:szCs w:val="18"/>
              </w:rPr>
            </w:pPr>
            <w:r>
              <w:rPr>
                <w:rFonts w:eastAsiaTheme="minorEastAsia"/>
                <w:sz w:val="18"/>
                <w:szCs w:val="18"/>
              </w:rPr>
              <w:t>Class A14</w:t>
            </w:r>
          </w:p>
        </w:tc>
        <w:tc>
          <w:tcPr>
            <w:tcW w:w="1134" w:type="dxa"/>
            <w:tcBorders>
              <w:bottom w:val="single" w:sz="4" w:space="0" w:color="auto"/>
            </w:tcBorders>
            <w:shd w:val="clear" w:color="auto" w:fill="auto"/>
            <w:tcMar>
              <w:top w:w="28" w:type="dxa"/>
              <w:left w:w="28" w:type="dxa"/>
              <w:bottom w:w="28" w:type="dxa"/>
              <w:right w:w="28" w:type="dxa"/>
            </w:tcMar>
            <w:vAlign w:val="center"/>
          </w:tcPr>
          <w:p w:rsidR="000F036F" w:rsidRDefault="000F16FD" w:rsidP="000F036F">
            <w:pPr>
              <w:spacing w:after="0"/>
              <w:jc w:val="center"/>
              <w:rPr>
                <w:rFonts w:ascii="Calibri" w:hAnsi="Calibri" w:cs="Calibri"/>
                <w:color w:val="000000"/>
                <w:sz w:val="18"/>
                <w:szCs w:val="18"/>
              </w:rPr>
            </w:pPr>
            <w:r>
              <w:rPr>
                <w:rFonts w:ascii="Calibri" w:hAnsi="Calibri" w:cs="Calibri"/>
                <w:color w:val="000000"/>
                <w:sz w:val="18"/>
                <w:szCs w:val="18"/>
              </w:rPr>
              <w:t>0</w:t>
            </w:r>
          </w:p>
        </w:tc>
        <w:tc>
          <w:tcPr>
            <w:tcW w:w="851" w:type="dxa"/>
            <w:tcBorders>
              <w:bottom w:val="single" w:sz="4" w:space="0" w:color="auto"/>
            </w:tcBorders>
            <w:shd w:val="clear" w:color="auto" w:fill="auto"/>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p>
        </w:tc>
        <w:tc>
          <w:tcPr>
            <w:tcW w:w="992" w:type="dxa"/>
            <w:tcBorders>
              <w:bottom w:val="single" w:sz="4" w:space="0" w:color="auto"/>
            </w:tcBorders>
            <w:shd w:val="clear" w:color="auto" w:fill="auto"/>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p>
        </w:tc>
        <w:tc>
          <w:tcPr>
            <w:tcW w:w="709" w:type="dxa"/>
            <w:tcBorders>
              <w:bottom w:val="single" w:sz="4" w:space="0" w:color="auto"/>
            </w:tcBorders>
            <w:shd w:val="clear" w:color="auto" w:fill="auto"/>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p>
        </w:tc>
        <w:tc>
          <w:tcPr>
            <w:tcW w:w="1088" w:type="dxa"/>
            <w:tcBorders>
              <w:bottom w:val="single" w:sz="4" w:space="0" w:color="auto"/>
            </w:tcBorders>
            <w:shd w:val="clear" w:color="auto" w:fill="auto"/>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p>
        </w:tc>
        <w:tc>
          <w:tcPr>
            <w:tcW w:w="786" w:type="dxa"/>
            <w:tcBorders>
              <w:bottom w:val="single" w:sz="4" w:space="0" w:color="auto"/>
            </w:tcBorders>
            <w:shd w:val="clear" w:color="auto" w:fill="auto"/>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p>
        </w:tc>
        <w:tc>
          <w:tcPr>
            <w:tcW w:w="851" w:type="dxa"/>
            <w:tcBorders>
              <w:bottom w:val="single" w:sz="4" w:space="0" w:color="auto"/>
            </w:tcBorders>
            <w:shd w:val="clear" w:color="auto" w:fill="auto"/>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p>
        </w:tc>
        <w:tc>
          <w:tcPr>
            <w:tcW w:w="709" w:type="dxa"/>
            <w:tcBorders>
              <w:bottom w:val="single" w:sz="4" w:space="0" w:color="auto"/>
            </w:tcBorders>
            <w:shd w:val="clear" w:color="auto" w:fill="auto"/>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p>
        </w:tc>
      </w:tr>
      <w:tr w:rsidR="000F036F" w:rsidTr="000F036F">
        <w:trPr>
          <w:jc w:val="right"/>
        </w:trPr>
        <w:tc>
          <w:tcPr>
            <w:tcW w:w="1463" w:type="dxa"/>
            <w:tcBorders>
              <w:bottom w:val="single" w:sz="4" w:space="0" w:color="auto"/>
            </w:tcBorders>
            <w:tcMar>
              <w:top w:w="28" w:type="dxa"/>
              <w:left w:w="28" w:type="dxa"/>
              <w:bottom w:w="28" w:type="dxa"/>
              <w:right w:w="28" w:type="dxa"/>
            </w:tcMar>
            <w:vAlign w:val="center"/>
          </w:tcPr>
          <w:p w:rsidR="000F036F" w:rsidRPr="000851A6" w:rsidRDefault="000F036F" w:rsidP="000F036F">
            <w:pPr>
              <w:pStyle w:val="ListParagraph"/>
              <w:spacing w:after="0"/>
              <w:ind w:left="0"/>
              <w:jc w:val="left"/>
              <w:rPr>
                <w:rFonts w:eastAsiaTheme="minorEastAsia"/>
                <w:sz w:val="18"/>
                <w:szCs w:val="18"/>
              </w:rPr>
            </w:pPr>
            <w:r w:rsidRPr="000851A6">
              <w:rPr>
                <w:rFonts w:eastAsiaTheme="minorEastAsia"/>
                <w:sz w:val="18"/>
                <w:szCs w:val="18"/>
              </w:rPr>
              <w:t>Class 30-PO</w:t>
            </w:r>
          </w:p>
        </w:tc>
        <w:tc>
          <w:tcPr>
            <w:tcW w:w="1134"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4,675,237</w:t>
            </w:r>
          </w:p>
        </w:tc>
        <w:tc>
          <w:tcPr>
            <w:tcW w:w="851"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1.86%</w:t>
            </w:r>
          </w:p>
        </w:tc>
        <w:tc>
          <w:tcPr>
            <w:tcW w:w="992"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p>
        </w:tc>
        <w:tc>
          <w:tcPr>
            <w:tcW w:w="709"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p>
        </w:tc>
        <w:tc>
          <w:tcPr>
            <w:tcW w:w="1088"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4,385,340</w:t>
            </w:r>
          </w:p>
        </w:tc>
        <w:tc>
          <w:tcPr>
            <w:tcW w:w="786"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r>
              <w:rPr>
                <w:rFonts w:ascii="Calibri" w:hAnsi="Calibri" w:cs="Calibri"/>
                <w:color w:val="000000"/>
                <w:sz w:val="18"/>
                <w:szCs w:val="18"/>
              </w:rPr>
              <w:t>1.81%</w:t>
            </w:r>
          </w:p>
        </w:tc>
        <w:tc>
          <w:tcPr>
            <w:tcW w:w="851"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p>
        </w:tc>
        <w:tc>
          <w:tcPr>
            <w:tcW w:w="709" w:type="dxa"/>
            <w:tcBorders>
              <w:bottom w:val="single" w:sz="4" w:space="0" w:color="auto"/>
            </w:tcBorders>
            <w:tcMar>
              <w:top w:w="28" w:type="dxa"/>
              <w:left w:w="28" w:type="dxa"/>
              <w:bottom w:w="28" w:type="dxa"/>
              <w:right w:w="28" w:type="dxa"/>
            </w:tcMar>
            <w:vAlign w:val="center"/>
          </w:tcPr>
          <w:p w:rsidR="000F036F" w:rsidRDefault="000F036F" w:rsidP="000F036F">
            <w:pPr>
              <w:spacing w:after="0"/>
              <w:jc w:val="center"/>
              <w:rPr>
                <w:rFonts w:ascii="Calibri" w:hAnsi="Calibri" w:cs="Calibri"/>
                <w:color w:val="000000"/>
                <w:sz w:val="18"/>
                <w:szCs w:val="18"/>
              </w:rPr>
            </w:pPr>
          </w:p>
        </w:tc>
      </w:tr>
      <w:tr w:rsidR="00D40AAD" w:rsidTr="000F036F">
        <w:trPr>
          <w:jc w:val="right"/>
        </w:trPr>
        <w:tc>
          <w:tcPr>
            <w:tcW w:w="1463" w:type="dxa"/>
            <w:tcBorders>
              <w:top w:val="single" w:sz="12" w:space="0" w:color="auto"/>
            </w:tcBorders>
            <w:tcMar>
              <w:top w:w="28" w:type="dxa"/>
              <w:left w:w="28" w:type="dxa"/>
              <w:bottom w:w="28" w:type="dxa"/>
              <w:right w:w="28" w:type="dxa"/>
            </w:tcMar>
            <w:vAlign w:val="center"/>
          </w:tcPr>
          <w:p w:rsidR="00D40AAD" w:rsidRPr="000851A6" w:rsidRDefault="00D40AAD" w:rsidP="0034146F">
            <w:pPr>
              <w:pStyle w:val="ListParagraph"/>
              <w:spacing w:after="0"/>
              <w:ind w:left="0"/>
              <w:jc w:val="left"/>
              <w:rPr>
                <w:rFonts w:eastAsiaTheme="minorEastAsia"/>
                <w:b/>
                <w:sz w:val="18"/>
                <w:szCs w:val="18"/>
              </w:rPr>
            </w:pPr>
            <w:r w:rsidRPr="000851A6">
              <w:rPr>
                <w:rFonts w:eastAsiaTheme="minorEastAsia"/>
                <w:b/>
                <w:sz w:val="18"/>
                <w:szCs w:val="18"/>
              </w:rPr>
              <w:t>Total</w:t>
            </w:r>
          </w:p>
        </w:tc>
        <w:tc>
          <w:tcPr>
            <w:tcW w:w="1134" w:type="dxa"/>
            <w:tcBorders>
              <w:top w:val="single" w:sz="12" w:space="0" w:color="auto"/>
            </w:tcBorders>
            <w:tcMar>
              <w:top w:w="28" w:type="dxa"/>
              <w:left w:w="28" w:type="dxa"/>
              <w:bottom w:w="28" w:type="dxa"/>
              <w:right w:w="28" w:type="dxa"/>
            </w:tcMar>
            <w:vAlign w:val="center"/>
          </w:tcPr>
          <w:p w:rsidR="00D40AAD" w:rsidRPr="000851A6" w:rsidRDefault="000F036F" w:rsidP="0034146F">
            <w:pPr>
              <w:pStyle w:val="ListParagraph"/>
              <w:spacing w:after="0"/>
              <w:ind w:left="0"/>
              <w:jc w:val="center"/>
              <w:rPr>
                <w:rFonts w:eastAsiaTheme="minorEastAsia"/>
                <w:b/>
                <w:sz w:val="18"/>
                <w:szCs w:val="18"/>
              </w:rPr>
            </w:pPr>
            <w:r>
              <w:rPr>
                <w:rFonts w:eastAsiaTheme="minorEastAsia"/>
                <w:b/>
                <w:sz w:val="18"/>
                <w:szCs w:val="18"/>
              </w:rPr>
              <w:t>250,895,368</w:t>
            </w:r>
          </w:p>
        </w:tc>
        <w:tc>
          <w:tcPr>
            <w:tcW w:w="851" w:type="dxa"/>
            <w:tcBorders>
              <w:top w:val="single" w:sz="12" w:space="0" w:color="auto"/>
            </w:tcBorders>
            <w:tcMar>
              <w:top w:w="28" w:type="dxa"/>
              <w:left w:w="28" w:type="dxa"/>
              <w:bottom w:w="28" w:type="dxa"/>
              <w:right w:w="28" w:type="dxa"/>
            </w:tcMar>
          </w:tcPr>
          <w:p w:rsidR="00D40AAD" w:rsidRPr="000851A6" w:rsidRDefault="00D40AAD" w:rsidP="0034146F">
            <w:pPr>
              <w:pStyle w:val="ListParagraph"/>
              <w:spacing w:after="0"/>
              <w:ind w:left="0"/>
              <w:jc w:val="center"/>
              <w:rPr>
                <w:rFonts w:eastAsiaTheme="minorEastAsia"/>
                <w:b/>
                <w:sz w:val="18"/>
                <w:szCs w:val="18"/>
              </w:rPr>
            </w:pPr>
            <w:r>
              <w:rPr>
                <w:rFonts w:eastAsiaTheme="minorEastAsia"/>
                <w:b/>
                <w:sz w:val="18"/>
                <w:szCs w:val="18"/>
              </w:rPr>
              <w:t>100%</w:t>
            </w:r>
          </w:p>
        </w:tc>
        <w:tc>
          <w:tcPr>
            <w:tcW w:w="992" w:type="dxa"/>
            <w:tcBorders>
              <w:top w:val="single" w:sz="12" w:space="0" w:color="auto"/>
            </w:tcBorders>
            <w:tcMar>
              <w:top w:w="28" w:type="dxa"/>
              <w:left w:w="28" w:type="dxa"/>
              <w:bottom w:w="28" w:type="dxa"/>
              <w:right w:w="28" w:type="dxa"/>
            </w:tcMar>
          </w:tcPr>
          <w:p w:rsidR="00D40AAD" w:rsidRPr="000851A6" w:rsidRDefault="003079F6" w:rsidP="0034146F">
            <w:pPr>
              <w:pStyle w:val="ListParagraph"/>
              <w:spacing w:after="0"/>
              <w:ind w:left="0"/>
              <w:jc w:val="center"/>
              <w:rPr>
                <w:rFonts w:eastAsiaTheme="minorEastAsia"/>
                <w:b/>
                <w:sz w:val="18"/>
                <w:szCs w:val="18"/>
              </w:rPr>
            </w:pPr>
            <w:r>
              <w:rPr>
                <w:rFonts w:eastAsiaTheme="minorEastAsia"/>
                <w:b/>
                <w:sz w:val="18"/>
                <w:szCs w:val="18"/>
              </w:rPr>
              <w:t>100%</w:t>
            </w:r>
          </w:p>
        </w:tc>
        <w:tc>
          <w:tcPr>
            <w:tcW w:w="709" w:type="dxa"/>
            <w:tcBorders>
              <w:top w:val="single" w:sz="12" w:space="0" w:color="auto"/>
            </w:tcBorders>
            <w:tcMar>
              <w:top w:w="28" w:type="dxa"/>
              <w:left w:w="28" w:type="dxa"/>
              <w:bottom w:w="28" w:type="dxa"/>
              <w:right w:w="28" w:type="dxa"/>
            </w:tcMar>
          </w:tcPr>
          <w:p w:rsidR="00D40AAD" w:rsidRPr="000851A6" w:rsidRDefault="003079F6" w:rsidP="0034146F">
            <w:pPr>
              <w:pStyle w:val="ListParagraph"/>
              <w:spacing w:after="0"/>
              <w:ind w:left="0"/>
              <w:jc w:val="center"/>
              <w:rPr>
                <w:rFonts w:eastAsiaTheme="minorEastAsia"/>
                <w:b/>
                <w:sz w:val="18"/>
                <w:szCs w:val="18"/>
              </w:rPr>
            </w:pPr>
            <w:r>
              <w:rPr>
                <w:rFonts w:eastAsiaTheme="minorEastAsia"/>
                <w:b/>
                <w:sz w:val="18"/>
                <w:szCs w:val="18"/>
              </w:rPr>
              <w:t>100%</w:t>
            </w:r>
          </w:p>
        </w:tc>
        <w:tc>
          <w:tcPr>
            <w:tcW w:w="1088" w:type="dxa"/>
            <w:tcBorders>
              <w:top w:val="single" w:sz="12" w:space="0" w:color="auto"/>
            </w:tcBorders>
            <w:tcMar>
              <w:top w:w="28" w:type="dxa"/>
              <w:left w:w="28" w:type="dxa"/>
              <w:bottom w:w="28" w:type="dxa"/>
              <w:right w:w="28" w:type="dxa"/>
            </w:tcMar>
          </w:tcPr>
          <w:p w:rsidR="00D40AAD" w:rsidRPr="000851A6" w:rsidRDefault="000F036F" w:rsidP="0034146F">
            <w:pPr>
              <w:pStyle w:val="ListParagraph"/>
              <w:spacing w:after="0"/>
              <w:ind w:left="0"/>
              <w:jc w:val="center"/>
              <w:rPr>
                <w:rFonts w:eastAsiaTheme="minorEastAsia"/>
                <w:b/>
                <w:sz w:val="18"/>
                <w:szCs w:val="18"/>
              </w:rPr>
            </w:pPr>
            <w:r>
              <w:rPr>
                <w:rFonts w:eastAsiaTheme="minorEastAsia"/>
                <w:b/>
                <w:sz w:val="18"/>
                <w:szCs w:val="18"/>
              </w:rPr>
              <w:t>242,038,117</w:t>
            </w:r>
          </w:p>
        </w:tc>
        <w:tc>
          <w:tcPr>
            <w:tcW w:w="786" w:type="dxa"/>
            <w:tcBorders>
              <w:top w:val="single" w:sz="12" w:space="0" w:color="auto"/>
            </w:tcBorders>
            <w:tcMar>
              <w:top w:w="28" w:type="dxa"/>
              <w:left w:w="28" w:type="dxa"/>
              <w:bottom w:w="28" w:type="dxa"/>
              <w:right w:w="28" w:type="dxa"/>
            </w:tcMar>
          </w:tcPr>
          <w:p w:rsidR="00D40AAD" w:rsidRPr="000851A6" w:rsidRDefault="00D40AAD" w:rsidP="0034146F">
            <w:pPr>
              <w:pStyle w:val="ListParagraph"/>
              <w:spacing w:after="0"/>
              <w:ind w:left="0"/>
              <w:jc w:val="center"/>
              <w:rPr>
                <w:rFonts w:eastAsiaTheme="minorEastAsia"/>
                <w:b/>
                <w:sz w:val="18"/>
                <w:szCs w:val="18"/>
              </w:rPr>
            </w:pPr>
            <w:r w:rsidRPr="000851A6">
              <w:rPr>
                <w:rFonts w:eastAsiaTheme="minorEastAsia"/>
                <w:b/>
                <w:sz w:val="18"/>
                <w:szCs w:val="18"/>
              </w:rPr>
              <w:t>100%</w:t>
            </w:r>
          </w:p>
        </w:tc>
        <w:tc>
          <w:tcPr>
            <w:tcW w:w="851" w:type="dxa"/>
            <w:tcBorders>
              <w:top w:val="single" w:sz="12" w:space="0" w:color="auto"/>
            </w:tcBorders>
            <w:tcMar>
              <w:top w:w="28" w:type="dxa"/>
              <w:left w:w="28" w:type="dxa"/>
              <w:bottom w:w="28" w:type="dxa"/>
              <w:right w:w="28" w:type="dxa"/>
            </w:tcMar>
          </w:tcPr>
          <w:p w:rsidR="00D40AAD" w:rsidRPr="000851A6" w:rsidRDefault="003079F6" w:rsidP="0034146F">
            <w:pPr>
              <w:pStyle w:val="ListParagraph"/>
              <w:spacing w:after="0"/>
              <w:ind w:left="0"/>
              <w:jc w:val="center"/>
              <w:rPr>
                <w:rFonts w:eastAsiaTheme="minorEastAsia"/>
                <w:b/>
                <w:sz w:val="18"/>
                <w:szCs w:val="18"/>
              </w:rPr>
            </w:pPr>
            <w:r>
              <w:rPr>
                <w:rFonts w:eastAsiaTheme="minorEastAsia"/>
                <w:b/>
                <w:sz w:val="18"/>
                <w:szCs w:val="18"/>
              </w:rPr>
              <w:t>100%</w:t>
            </w:r>
          </w:p>
        </w:tc>
        <w:tc>
          <w:tcPr>
            <w:tcW w:w="709" w:type="dxa"/>
            <w:tcBorders>
              <w:top w:val="single" w:sz="12" w:space="0" w:color="auto"/>
            </w:tcBorders>
            <w:tcMar>
              <w:top w:w="28" w:type="dxa"/>
              <w:left w:w="28" w:type="dxa"/>
              <w:bottom w:w="28" w:type="dxa"/>
              <w:right w:w="28" w:type="dxa"/>
            </w:tcMar>
          </w:tcPr>
          <w:p w:rsidR="00D40AAD" w:rsidRPr="000851A6" w:rsidRDefault="003079F6" w:rsidP="0034146F">
            <w:pPr>
              <w:pStyle w:val="ListParagraph"/>
              <w:spacing w:after="0"/>
              <w:ind w:left="0"/>
              <w:jc w:val="center"/>
              <w:rPr>
                <w:rFonts w:eastAsiaTheme="minorEastAsia"/>
                <w:b/>
                <w:sz w:val="18"/>
                <w:szCs w:val="18"/>
              </w:rPr>
            </w:pPr>
            <w:r>
              <w:rPr>
                <w:rFonts w:eastAsiaTheme="minorEastAsia"/>
                <w:b/>
                <w:sz w:val="18"/>
                <w:szCs w:val="18"/>
              </w:rPr>
              <w:t>100%</w:t>
            </w:r>
          </w:p>
        </w:tc>
      </w:tr>
    </w:tbl>
    <w:p w:rsidR="00D40AAD" w:rsidRDefault="00D40AAD" w:rsidP="00FC4EE7">
      <w:pPr>
        <w:pStyle w:val="ListParagraph"/>
        <w:spacing w:before="240" w:after="0"/>
        <w:ind w:left="714"/>
        <w:contextualSpacing w:val="0"/>
        <w:rPr>
          <w:rFonts w:eastAsiaTheme="minorEastAsia"/>
          <w:sz w:val="20"/>
          <w:szCs w:val="20"/>
        </w:rPr>
      </w:pPr>
      <w:r>
        <w:rPr>
          <w:rFonts w:eastAsiaTheme="minorEastAsia"/>
          <w:sz w:val="20"/>
          <w:szCs w:val="20"/>
        </w:rPr>
        <w:t>In addition to credit support from junior and mezzanine tranches, there is credit support between senior tranches.</w:t>
      </w:r>
      <w:r w:rsidR="00245D1A">
        <w:rPr>
          <w:rFonts w:eastAsiaTheme="minorEastAsia"/>
          <w:sz w:val="20"/>
          <w:szCs w:val="20"/>
        </w:rPr>
        <w:t xml:space="preserve"> Super senior certificates A3 and A11 are supported by class A4 and s</w:t>
      </w:r>
      <w:r w:rsidR="00245D1A">
        <w:rPr>
          <w:rFonts w:eastAsiaTheme="minorEastAsia"/>
          <w:sz w:val="20"/>
          <w:szCs w:val="20"/>
        </w:rPr>
        <w:t>uper senior certificates A</w:t>
      </w:r>
      <w:r w:rsidR="00245D1A">
        <w:rPr>
          <w:rFonts w:eastAsiaTheme="minorEastAsia"/>
          <w:sz w:val="20"/>
          <w:szCs w:val="20"/>
        </w:rPr>
        <w:t>5, A6 and A7</w:t>
      </w:r>
      <w:r w:rsidR="00245D1A">
        <w:rPr>
          <w:rFonts w:eastAsiaTheme="minorEastAsia"/>
          <w:sz w:val="20"/>
          <w:szCs w:val="20"/>
        </w:rPr>
        <w:t xml:space="preserve"> are supported </w:t>
      </w:r>
      <w:r w:rsidR="00245D1A">
        <w:rPr>
          <w:rFonts w:eastAsiaTheme="minorEastAsia"/>
          <w:sz w:val="20"/>
          <w:szCs w:val="20"/>
        </w:rPr>
        <w:t xml:space="preserve">respectively </w:t>
      </w:r>
      <w:r w:rsidR="00245D1A">
        <w:rPr>
          <w:rFonts w:eastAsiaTheme="minorEastAsia"/>
          <w:sz w:val="20"/>
          <w:szCs w:val="20"/>
        </w:rPr>
        <w:t>by class</w:t>
      </w:r>
      <w:r w:rsidR="00245D1A">
        <w:rPr>
          <w:rFonts w:eastAsiaTheme="minorEastAsia"/>
          <w:sz w:val="20"/>
          <w:szCs w:val="20"/>
        </w:rPr>
        <w:t>es</w:t>
      </w:r>
      <w:r w:rsidR="00245D1A">
        <w:rPr>
          <w:rFonts w:eastAsiaTheme="minorEastAsia"/>
          <w:sz w:val="20"/>
          <w:szCs w:val="20"/>
        </w:rPr>
        <w:t xml:space="preserve"> A</w:t>
      </w:r>
      <w:r w:rsidR="00245D1A">
        <w:rPr>
          <w:rFonts w:eastAsiaTheme="minorEastAsia"/>
          <w:sz w:val="20"/>
          <w:szCs w:val="20"/>
        </w:rPr>
        <w:t>9-1, A9-2 and A9-3.</w:t>
      </w:r>
    </w:p>
    <w:p w:rsidR="00C0699F" w:rsidRDefault="00C0699F" w:rsidP="001E7160">
      <w:pPr>
        <w:pStyle w:val="ListParagraph"/>
        <w:numPr>
          <w:ilvl w:val="0"/>
          <w:numId w:val="19"/>
        </w:numPr>
        <w:spacing w:before="120" w:after="0"/>
        <w:contextualSpacing w:val="0"/>
        <w:rPr>
          <w:rFonts w:eastAsiaTheme="minorEastAsia"/>
          <w:sz w:val="20"/>
          <w:szCs w:val="20"/>
        </w:rPr>
      </w:pPr>
      <w:r>
        <w:rPr>
          <w:rFonts w:eastAsiaTheme="minorEastAsia"/>
          <w:sz w:val="20"/>
          <w:szCs w:val="20"/>
        </w:rPr>
        <w:t>Loss allocation structure</w:t>
      </w:r>
      <w:r w:rsidR="00CE025C">
        <w:rPr>
          <w:rFonts w:eastAsiaTheme="minorEastAsia"/>
          <w:sz w:val="20"/>
          <w:szCs w:val="20"/>
        </w:rPr>
        <w:t>. As showed in the exhibit</w:t>
      </w:r>
      <w:r w:rsidR="00261CDD">
        <w:rPr>
          <w:rFonts w:eastAsiaTheme="minorEastAsia"/>
          <w:sz w:val="20"/>
          <w:szCs w:val="20"/>
        </w:rPr>
        <w:t>s</w:t>
      </w:r>
      <w:r w:rsidR="00CE025C">
        <w:rPr>
          <w:rFonts w:eastAsiaTheme="minorEastAsia"/>
          <w:sz w:val="20"/>
          <w:szCs w:val="20"/>
        </w:rPr>
        <w:t xml:space="preserve"> above, the losses are allocated </w:t>
      </w:r>
      <w:r w:rsidR="004C75E3">
        <w:rPr>
          <w:rFonts w:eastAsiaTheme="minorEastAsia"/>
          <w:sz w:val="20"/>
          <w:szCs w:val="20"/>
        </w:rPr>
        <w:t xml:space="preserve">on </w:t>
      </w:r>
      <w:r w:rsidR="00CE025C">
        <w:rPr>
          <w:rFonts w:eastAsiaTheme="minorEastAsia"/>
          <w:sz w:val="20"/>
          <w:szCs w:val="20"/>
        </w:rPr>
        <w:t xml:space="preserve">pro-rata </w:t>
      </w:r>
      <w:r w:rsidR="004C75E3">
        <w:rPr>
          <w:rFonts w:eastAsiaTheme="minorEastAsia"/>
          <w:sz w:val="20"/>
          <w:szCs w:val="20"/>
        </w:rPr>
        <w:t xml:space="preserve">basis </w:t>
      </w:r>
      <w:r w:rsidR="00CE025C">
        <w:rPr>
          <w:rFonts w:eastAsiaTheme="minorEastAsia"/>
          <w:sz w:val="20"/>
          <w:szCs w:val="20"/>
        </w:rPr>
        <w:t xml:space="preserve">to securities </w:t>
      </w:r>
      <w:r w:rsidR="00261CDD">
        <w:rPr>
          <w:rFonts w:eastAsiaTheme="minorEastAsia"/>
          <w:sz w:val="20"/>
          <w:szCs w:val="20"/>
        </w:rPr>
        <w:t xml:space="preserve">A1, </w:t>
      </w:r>
      <w:r w:rsidR="00EF4274">
        <w:rPr>
          <w:rFonts w:eastAsiaTheme="minorEastAsia"/>
          <w:sz w:val="20"/>
          <w:szCs w:val="20"/>
        </w:rPr>
        <w:t xml:space="preserve">A10, </w:t>
      </w:r>
      <w:r w:rsidR="00261CDD">
        <w:rPr>
          <w:rFonts w:eastAsiaTheme="minorEastAsia"/>
          <w:sz w:val="20"/>
          <w:szCs w:val="20"/>
        </w:rPr>
        <w:t xml:space="preserve">A12 and A13 </w:t>
      </w:r>
      <w:r w:rsidR="004C75E3">
        <w:rPr>
          <w:rFonts w:eastAsiaTheme="minorEastAsia"/>
          <w:sz w:val="20"/>
          <w:szCs w:val="20"/>
        </w:rPr>
        <w:t>after the credit support depletion date</w:t>
      </w:r>
      <w:r w:rsidR="00261CDD">
        <w:rPr>
          <w:rFonts w:eastAsiaTheme="minorEastAsia"/>
          <w:sz w:val="20"/>
          <w:szCs w:val="20"/>
        </w:rPr>
        <w:t>. The</w:t>
      </w:r>
      <w:r w:rsidR="00261CDD" w:rsidRPr="00261CDD">
        <w:rPr>
          <w:rFonts w:eastAsiaTheme="minorEastAsia"/>
          <w:sz w:val="20"/>
          <w:szCs w:val="20"/>
        </w:rPr>
        <w:t xml:space="preserve"> </w:t>
      </w:r>
      <w:r w:rsidR="00261CDD">
        <w:rPr>
          <w:rFonts w:eastAsiaTheme="minorEastAsia"/>
          <w:sz w:val="20"/>
          <w:szCs w:val="20"/>
        </w:rPr>
        <w:t>losses are allocated on pro-rata basis to</w:t>
      </w:r>
      <w:r w:rsidR="00261CDD">
        <w:rPr>
          <w:rFonts w:eastAsiaTheme="minorEastAsia"/>
          <w:sz w:val="20"/>
          <w:szCs w:val="20"/>
        </w:rPr>
        <w:t xml:space="preserve"> all securities after November 2014 when the balances of all super senior support securities </w:t>
      </w:r>
      <w:r w:rsidR="000F16FD">
        <w:rPr>
          <w:rFonts w:eastAsiaTheme="minorEastAsia"/>
          <w:sz w:val="20"/>
          <w:szCs w:val="20"/>
        </w:rPr>
        <w:t xml:space="preserve">(which include A4 and </w:t>
      </w:r>
      <w:r w:rsidR="00261CDD">
        <w:rPr>
          <w:rFonts w:eastAsiaTheme="minorEastAsia"/>
          <w:sz w:val="20"/>
          <w:szCs w:val="20"/>
        </w:rPr>
        <w:t>A9 classes) are reduced to zero</w:t>
      </w:r>
      <w:r w:rsidR="00CE025C">
        <w:rPr>
          <w:rFonts w:eastAsiaTheme="minorEastAsia"/>
          <w:sz w:val="20"/>
          <w:szCs w:val="20"/>
        </w:rPr>
        <w:t>;</w:t>
      </w:r>
    </w:p>
    <w:p w:rsidR="00C0699F" w:rsidRDefault="00C0699F" w:rsidP="001E7160">
      <w:pPr>
        <w:pStyle w:val="ListParagraph"/>
        <w:numPr>
          <w:ilvl w:val="0"/>
          <w:numId w:val="19"/>
        </w:numPr>
        <w:spacing w:before="120" w:after="0"/>
        <w:contextualSpacing w:val="0"/>
        <w:rPr>
          <w:rFonts w:eastAsiaTheme="minorEastAsia"/>
          <w:sz w:val="20"/>
          <w:szCs w:val="20"/>
        </w:rPr>
      </w:pPr>
      <w:r>
        <w:rPr>
          <w:rFonts w:eastAsiaTheme="minorEastAsia"/>
          <w:sz w:val="20"/>
          <w:szCs w:val="20"/>
        </w:rPr>
        <w:t>Principal allocation structure</w:t>
      </w:r>
      <w:r w:rsidR="004C75E3">
        <w:rPr>
          <w:rFonts w:eastAsiaTheme="minorEastAsia"/>
          <w:sz w:val="20"/>
          <w:szCs w:val="20"/>
        </w:rPr>
        <w:t>. As showed in the exhibit above, the principal payments are allocated on pro-rata basis to all securities in the deal</w:t>
      </w:r>
      <w:r w:rsidR="004C75E3" w:rsidRPr="004C75E3">
        <w:rPr>
          <w:rFonts w:eastAsiaTheme="minorEastAsia"/>
          <w:sz w:val="20"/>
          <w:szCs w:val="20"/>
        </w:rPr>
        <w:t xml:space="preserve"> </w:t>
      </w:r>
      <w:r w:rsidR="004C75E3">
        <w:rPr>
          <w:rFonts w:eastAsiaTheme="minorEastAsia"/>
          <w:sz w:val="20"/>
          <w:szCs w:val="20"/>
        </w:rPr>
        <w:t>after the credit support depletion date</w:t>
      </w:r>
      <w:r w:rsidR="00D40AEC">
        <w:rPr>
          <w:rFonts w:eastAsiaTheme="minorEastAsia"/>
          <w:sz w:val="20"/>
          <w:szCs w:val="20"/>
        </w:rPr>
        <w:t xml:space="preserve">. Prior to the </w:t>
      </w:r>
      <w:r w:rsidR="00D40AEC">
        <w:rPr>
          <w:rFonts w:eastAsiaTheme="minorEastAsia"/>
          <w:sz w:val="20"/>
          <w:szCs w:val="20"/>
        </w:rPr>
        <w:t>credit support depletion date</w:t>
      </w:r>
      <w:r w:rsidR="00D40AEC">
        <w:rPr>
          <w:rFonts w:eastAsiaTheme="minorEastAsia"/>
          <w:sz w:val="20"/>
          <w:szCs w:val="20"/>
        </w:rPr>
        <w:t xml:space="preserve"> the principal allocation rules are more complex with the largest share of repaid principal amount being allocated to class A5</w:t>
      </w:r>
      <w:bookmarkStart w:id="0" w:name="_GoBack"/>
      <w:bookmarkEnd w:id="0"/>
      <w:r w:rsidR="00F05DB8">
        <w:rPr>
          <w:rFonts w:eastAsiaTheme="minorEastAsia"/>
          <w:sz w:val="20"/>
          <w:szCs w:val="20"/>
        </w:rPr>
        <w:t>;</w:t>
      </w:r>
    </w:p>
    <w:p w:rsidR="00C0699F" w:rsidRDefault="00C0699F" w:rsidP="001E7160">
      <w:pPr>
        <w:pStyle w:val="ListParagraph"/>
        <w:numPr>
          <w:ilvl w:val="0"/>
          <w:numId w:val="19"/>
        </w:numPr>
        <w:spacing w:before="120" w:after="0"/>
        <w:contextualSpacing w:val="0"/>
        <w:rPr>
          <w:rFonts w:eastAsiaTheme="minorEastAsia"/>
          <w:sz w:val="20"/>
          <w:szCs w:val="20"/>
        </w:rPr>
      </w:pPr>
      <w:r>
        <w:rPr>
          <w:rFonts w:eastAsiaTheme="minorEastAsia"/>
          <w:sz w:val="20"/>
          <w:szCs w:val="20"/>
        </w:rPr>
        <w:lastRenderedPageBreak/>
        <w:t>Principal prepayment rate parameter</w:t>
      </w:r>
      <w:r w:rsidR="004C75E3">
        <w:rPr>
          <w:rFonts w:eastAsiaTheme="minorEastAsia"/>
          <w:sz w:val="20"/>
          <w:szCs w:val="20"/>
        </w:rPr>
        <w:t>.</w:t>
      </w:r>
    </w:p>
    <w:p w:rsidR="00C0699F" w:rsidRDefault="00C0699F" w:rsidP="001E7160">
      <w:pPr>
        <w:pStyle w:val="ListParagraph"/>
        <w:numPr>
          <w:ilvl w:val="0"/>
          <w:numId w:val="19"/>
        </w:numPr>
        <w:spacing w:before="120" w:after="0"/>
        <w:contextualSpacing w:val="0"/>
        <w:rPr>
          <w:rFonts w:eastAsiaTheme="minorEastAsia"/>
          <w:sz w:val="20"/>
          <w:szCs w:val="20"/>
        </w:rPr>
      </w:pPr>
      <w:r>
        <w:rPr>
          <w:rFonts w:eastAsiaTheme="minorEastAsia"/>
          <w:sz w:val="20"/>
          <w:szCs w:val="20"/>
        </w:rPr>
        <w:t>Loss rate parameter</w:t>
      </w:r>
      <w:r w:rsidR="000B7F21">
        <w:rPr>
          <w:rFonts w:eastAsiaTheme="minorEastAsia"/>
          <w:sz w:val="20"/>
          <w:szCs w:val="20"/>
        </w:rPr>
        <w:t>.</w:t>
      </w:r>
    </w:p>
    <w:p w:rsidR="00843BD9" w:rsidRDefault="00C0699F" w:rsidP="001E7160">
      <w:pPr>
        <w:pStyle w:val="ListParagraph"/>
        <w:numPr>
          <w:ilvl w:val="0"/>
          <w:numId w:val="19"/>
        </w:numPr>
        <w:spacing w:before="120" w:after="0"/>
        <w:contextualSpacing w:val="0"/>
        <w:rPr>
          <w:rFonts w:eastAsiaTheme="minorEastAsia"/>
          <w:sz w:val="20"/>
          <w:szCs w:val="20"/>
        </w:rPr>
      </w:pPr>
      <w:r>
        <w:rPr>
          <w:rFonts w:eastAsiaTheme="minorEastAsia"/>
          <w:sz w:val="20"/>
          <w:szCs w:val="20"/>
        </w:rPr>
        <w:t>Cash flow model</w:t>
      </w:r>
      <w:r w:rsidR="00843BD9" w:rsidRPr="00524C62">
        <w:rPr>
          <w:rFonts w:eastAsiaTheme="minorEastAsia"/>
          <w:sz w:val="20"/>
          <w:szCs w:val="20"/>
        </w:rPr>
        <w:t>;</w:t>
      </w:r>
    </w:p>
    <w:p w:rsidR="001C0371" w:rsidRPr="00524C62" w:rsidRDefault="001C0371" w:rsidP="001E7160">
      <w:pPr>
        <w:pStyle w:val="ListParagraph"/>
        <w:numPr>
          <w:ilvl w:val="0"/>
          <w:numId w:val="19"/>
        </w:numPr>
        <w:spacing w:before="120" w:after="0"/>
        <w:contextualSpacing w:val="0"/>
        <w:rPr>
          <w:rFonts w:eastAsiaTheme="minorEastAsia"/>
          <w:sz w:val="20"/>
          <w:szCs w:val="20"/>
        </w:rPr>
      </w:pPr>
      <w:r>
        <w:rPr>
          <w:rFonts w:eastAsiaTheme="minorEastAsia"/>
          <w:sz w:val="20"/>
          <w:szCs w:val="20"/>
        </w:rPr>
        <w:t>NPV valuation:</w:t>
      </w:r>
      <w:r w:rsidR="002B56D2">
        <w:rPr>
          <w:rFonts w:eastAsiaTheme="minorEastAsia"/>
          <w:sz w:val="20"/>
          <w:szCs w:val="20"/>
        </w:rPr>
        <w:t xml:space="preserve"> </w:t>
      </w:r>
    </w:p>
    <w:p w:rsidR="007D54C0" w:rsidRDefault="007D54C0">
      <w:pPr>
        <w:rPr>
          <w:b/>
          <w:sz w:val="24"/>
          <w:szCs w:val="24"/>
        </w:rPr>
      </w:pPr>
    </w:p>
    <w:p w:rsidR="00C97925" w:rsidRDefault="00C97925" w:rsidP="00C97925">
      <w:pPr>
        <w:pStyle w:val="Heading1"/>
      </w:pPr>
      <w:r>
        <w:t>Appendix</w:t>
      </w:r>
    </w:p>
    <w:p w:rsidR="00865B7F" w:rsidRDefault="00865B7F" w:rsidP="00C97925">
      <w:pPr>
        <w:pStyle w:val="Heading2"/>
      </w:pPr>
      <w:r>
        <w:t>Bloomberg functions</w:t>
      </w:r>
    </w:p>
    <w:p w:rsidR="00865B7F" w:rsidRDefault="004C7352" w:rsidP="00865B7F">
      <w:r>
        <w:t>List of Bloomberg functions used to retrieve CMO securities data is provided below.</w:t>
      </w:r>
    </w:p>
    <w:p w:rsidR="004C7352" w:rsidRDefault="004C7352" w:rsidP="004C7352">
      <w:pPr>
        <w:pStyle w:val="ListParagraph"/>
        <w:numPr>
          <w:ilvl w:val="0"/>
          <w:numId w:val="20"/>
        </w:numPr>
      </w:pPr>
      <w:r>
        <w:t>CPD:</w:t>
      </w:r>
    </w:p>
    <w:p w:rsidR="004C7352" w:rsidRDefault="004C7352" w:rsidP="004C7352">
      <w:pPr>
        <w:pStyle w:val="ListParagraph"/>
        <w:numPr>
          <w:ilvl w:val="0"/>
          <w:numId w:val="20"/>
        </w:numPr>
      </w:pPr>
      <w:r>
        <w:t>DPD:</w:t>
      </w:r>
    </w:p>
    <w:p w:rsidR="004C7352" w:rsidRDefault="004C7352" w:rsidP="004C7352">
      <w:pPr>
        <w:pStyle w:val="ListParagraph"/>
        <w:numPr>
          <w:ilvl w:val="0"/>
          <w:numId w:val="20"/>
        </w:numPr>
      </w:pPr>
      <w:r>
        <w:t>LLD:</w:t>
      </w:r>
    </w:p>
    <w:p w:rsidR="004C7352" w:rsidRDefault="004C7352" w:rsidP="004C7352">
      <w:pPr>
        <w:pStyle w:val="ListParagraph"/>
        <w:numPr>
          <w:ilvl w:val="0"/>
          <w:numId w:val="20"/>
        </w:numPr>
      </w:pPr>
      <w:r>
        <w:t>PRO:</w:t>
      </w:r>
      <w:r w:rsidR="00F92273">
        <w:t xml:space="preserve"> CMO deal prospectus;</w:t>
      </w:r>
    </w:p>
    <w:p w:rsidR="004C7352" w:rsidRDefault="004C7352" w:rsidP="004C7352">
      <w:pPr>
        <w:pStyle w:val="ListParagraph"/>
        <w:numPr>
          <w:ilvl w:val="0"/>
          <w:numId w:val="20"/>
        </w:numPr>
      </w:pPr>
      <w:r>
        <w:t>SEV:</w:t>
      </w:r>
    </w:p>
    <w:p w:rsidR="00F678AF" w:rsidRDefault="00F678AF" w:rsidP="004C7352">
      <w:pPr>
        <w:pStyle w:val="ListParagraph"/>
        <w:numPr>
          <w:ilvl w:val="0"/>
          <w:numId w:val="20"/>
        </w:numPr>
      </w:pPr>
      <w:r>
        <w:t>HP (GP): historical prices as a table (or as a graph)</w:t>
      </w:r>
      <w:r w:rsidR="00666E23">
        <w:t>.</w:t>
      </w:r>
    </w:p>
    <w:p w:rsidR="004C7352" w:rsidRPr="00865B7F" w:rsidRDefault="004C7352" w:rsidP="004C7352"/>
    <w:p w:rsidR="00A553F7" w:rsidRPr="00524C62" w:rsidRDefault="00A553F7" w:rsidP="00C97925">
      <w:pPr>
        <w:pStyle w:val="Heading2"/>
      </w:pPr>
      <w:r>
        <w:t>A</w:t>
      </w:r>
      <w:r w:rsidR="00B57E25">
        <w:t>n</w:t>
      </w:r>
      <w:r>
        <w:t xml:space="preserve"> </w:t>
      </w:r>
      <w:r w:rsidR="00B57E25">
        <w:t>Approximate</w:t>
      </w:r>
      <w:r>
        <w:t xml:space="preserve"> Approach to CDS Pricing</w:t>
      </w:r>
      <w:r w:rsidRPr="00524C62">
        <w:t xml:space="preserve"> </w:t>
      </w:r>
    </w:p>
    <w:p w:rsidR="00A553F7" w:rsidRDefault="00A553F7" w:rsidP="00A553F7">
      <w:pPr>
        <w:rPr>
          <w:rFonts w:eastAsiaTheme="minorEastAsia"/>
          <w:sz w:val="20"/>
          <w:szCs w:val="20"/>
        </w:rPr>
      </w:pPr>
      <w:r w:rsidRPr="00524C62">
        <w:rPr>
          <w:sz w:val="20"/>
          <w:szCs w:val="20"/>
        </w:rPr>
        <w:t>In this section</w:t>
      </w:r>
      <w:r w:rsidR="00B02D05">
        <w:rPr>
          <w:sz w:val="20"/>
          <w:szCs w:val="20"/>
        </w:rPr>
        <w:t xml:space="preserve">, we describe a high-level approach that does not require modelling the credit enhancement / principal prepayment structure of MBS loan tranches and does not require running Monte-Carlo simulations to assess the value of the CDS instruments. The valuation approach is based on the assumption that the expectation of the losses in </w:t>
      </w:r>
      <m:oMath>
        <m:r>
          <w:rPr>
            <w:rFonts w:ascii="Cambria Math" w:hAnsi="Cambria Math"/>
            <w:sz w:val="20"/>
            <w:szCs w:val="20"/>
          </w:rPr>
          <m:t>A</m:t>
        </m:r>
      </m:oMath>
      <w:r w:rsidR="00B02D05">
        <w:rPr>
          <w:rFonts w:eastAsiaTheme="minorEastAsia"/>
          <w:sz w:val="20"/>
          <w:szCs w:val="20"/>
        </w:rPr>
        <w:t xml:space="preserve"> tranche </w:t>
      </w:r>
      <w:r w:rsidR="00B02D05">
        <w:rPr>
          <w:sz w:val="20"/>
          <w:szCs w:val="20"/>
        </w:rPr>
        <w:t xml:space="preserve">can be estimated from the Bloomberg reported price of the tranche and that the standard deviation of the losses is typically relatively small and not sensitive to modelling parameters. Basically, the resulting distribution of losses that determine the prices of the </w:t>
      </w:r>
      <w:r w:rsidR="00B02D05" w:rsidRPr="00524C62">
        <w:rPr>
          <w:sz w:val="20"/>
          <w:szCs w:val="20"/>
        </w:rPr>
        <w:t>A4.J, A4.M, and A4.S</w:t>
      </w:r>
      <w:r w:rsidR="00B02D05">
        <w:rPr>
          <w:sz w:val="20"/>
          <w:szCs w:val="20"/>
        </w:rPr>
        <w:t xml:space="preserve"> sub-tranches is relatively insensitive to the modelling approach and modelling parameters given that the price of the </w:t>
      </w:r>
      <m:oMath>
        <m:r>
          <w:rPr>
            <w:rFonts w:ascii="Cambria Math" w:hAnsi="Cambria Math"/>
            <w:sz w:val="20"/>
            <w:szCs w:val="20"/>
          </w:rPr>
          <m:t>A</m:t>
        </m:r>
      </m:oMath>
      <w:r w:rsidR="00B02D05">
        <w:rPr>
          <w:rFonts w:eastAsiaTheme="minorEastAsia"/>
          <w:sz w:val="20"/>
          <w:szCs w:val="20"/>
        </w:rPr>
        <w:t xml:space="preserve"> tranche is fixed.</w:t>
      </w:r>
    </w:p>
    <w:p w:rsidR="00534B2E" w:rsidRDefault="004C3767" w:rsidP="00A553F7">
      <w:pPr>
        <w:rPr>
          <w:rFonts w:eastAsiaTheme="minorEastAsia"/>
          <w:sz w:val="20"/>
          <w:szCs w:val="20"/>
        </w:rPr>
      </w:pPr>
      <w:r>
        <w:rPr>
          <w:rFonts w:eastAsiaTheme="minorEastAsia"/>
          <w:sz w:val="20"/>
          <w:szCs w:val="20"/>
        </w:rPr>
        <w:t>Below we provide a simplified model of CDS pricing.</w:t>
      </w:r>
      <w:r w:rsidR="00983940">
        <w:rPr>
          <w:rFonts w:eastAsiaTheme="minorEastAsia"/>
          <w:sz w:val="20"/>
          <w:szCs w:val="20"/>
        </w:rPr>
        <w:t xml:space="preserve"> Suppose that the </w:t>
      </w:r>
      <m:oMath>
        <m:r>
          <w:rPr>
            <w:rFonts w:ascii="Cambria Math" w:hAnsi="Cambria Math"/>
            <w:sz w:val="20"/>
            <w:szCs w:val="20"/>
          </w:rPr>
          <m:t>A</m:t>
        </m:r>
      </m:oMath>
      <w:r w:rsidR="00983940">
        <w:rPr>
          <w:rFonts w:eastAsiaTheme="minorEastAsia"/>
          <w:sz w:val="20"/>
          <w:szCs w:val="20"/>
        </w:rPr>
        <w:t xml:space="preserve"> tranche is modelled as amortized loan where the loss </w:t>
      </w:r>
      <m:oMath>
        <m:r>
          <w:rPr>
            <w:rFonts w:ascii="Cambria Math" w:eastAsiaTheme="minorEastAsia" w:hAnsi="Cambria Math"/>
            <w:sz w:val="20"/>
            <w:szCs w:val="20"/>
          </w:rPr>
          <m:t>L</m:t>
        </m:r>
      </m:oMath>
      <w:r w:rsidR="00983940">
        <w:rPr>
          <w:rFonts w:eastAsiaTheme="minorEastAsia"/>
          <w:sz w:val="20"/>
          <w:szCs w:val="20"/>
        </w:rPr>
        <w:t xml:space="preserve"> and the monthly amortized amount </w:t>
      </w:r>
      <m:oMath>
        <m:r>
          <w:rPr>
            <w:rFonts w:ascii="Cambria Math" w:eastAsiaTheme="minorEastAsia" w:hAnsi="Cambria Math"/>
            <w:sz w:val="20"/>
            <w:szCs w:val="20"/>
          </w:rPr>
          <m:t>X</m:t>
        </m:r>
      </m:oMath>
      <w:r w:rsidR="00983940">
        <w:rPr>
          <w:rFonts w:eastAsiaTheme="minorEastAsia"/>
          <w:sz w:val="20"/>
          <w:szCs w:val="20"/>
        </w:rPr>
        <w:t xml:space="preserve"> are fixed</w:t>
      </w:r>
      <w:r w:rsidR="00176548">
        <w:rPr>
          <w:rFonts w:eastAsiaTheme="minorEastAsia"/>
          <w:sz w:val="20"/>
          <w:szCs w:val="20"/>
        </w:rPr>
        <w:t xml:space="preserve"> and constant each month</w:t>
      </w:r>
      <w:r w:rsidR="00983940">
        <w:rPr>
          <w:rFonts w:eastAsiaTheme="minorEastAsia"/>
          <w:sz w:val="20"/>
          <w:szCs w:val="20"/>
        </w:rPr>
        <w:t>.</w:t>
      </w:r>
      <w:r w:rsidR="00137EC7">
        <w:rPr>
          <w:rFonts w:eastAsiaTheme="minorEastAsia"/>
          <w:sz w:val="20"/>
          <w:szCs w:val="20"/>
        </w:rPr>
        <w:t xml:space="preserve"> </w:t>
      </w:r>
      <w:r w:rsidR="004D7B93">
        <w:rPr>
          <w:rFonts w:eastAsiaTheme="minorEastAsia"/>
          <w:sz w:val="20"/>
          <w:szCs w:val="20"/>
        </w:rPr>
        <w:t xml:space="preserve">Losses start to be recognized starting from date </w:t>
      </w:r>
      <m:oMath>
        <m:sSup>
          <m:sSupPr>
            <m:ctrlPr>
              <w:rPr>
                <w:rFonts w:ascii="Cambria Math" w:eastAsiaTheme="minorEastAsia" w:hAnsi="Cambria Math"/>
                <w:i/>
                <w:sz w:val="20"/>
                <w:szCs w:val="20"/>
              </w:rPr>
            </m:ctrlPr>
          </m:sSupPr>
          <m:e>
            <m:r>
              <w:rPr>
                <w:rFonts w:ascii="Cambria Math" w:eastAsiaTheme="minorEastAsia" w:hAnsi="Cambria Math"/>
                <w:sz w:val="20"/>
                <w:szCs w:val="20"/>
              </w:rPr>
              <m:t>T</m:t>
            </m:r>
          </m:e>
          <m:sup>
            <m:r>
              <w:rPr>
                <w:rFonts w:ascii="Cambria Math" w:eastAsiaTheme="minorEastAsia" w:hAnsi="Cambria Math"/>
                <w:sz w:val="20"/>
                <w:szCs w:val="20"/>
              </w:rPr>
              <m:t>L</m:t>
            </m:r>
          </m:sup>
        </m:sSup>
      </m:oMath>
      <w:r w:rsidR="004D7B93">
        <w:rPr>
          <w:rFonts w:eastAsiaTheme="minorEastAsia"/>
          <w:sz w:val="20"/>
          <w:szCs w:val="20"/>
        </w:rPr>
        <w:t xml:space="preserve">. Similarly, the principal amortization starts from period </w:t>
      </w:r>
      <m:oMath>
        <m:sSup>
          <m:sSupPr>
            <m:ctrlPr>
              <w:rPr>
                <w:rFonts w:ascii="Cambria Math" w:eastAsiaTheme="minorEastAsia" w:hAnsi="Cambria Math"/>
                <w:i/>
                <w:sz w:val="20"/>
                <w:szCs w:val="20"/>
              </w:rPr>
            </m:ctrlPr>
          </m:sSupPr>
          <m:e>
            <m:r>
              <w:rPr>
                <w:rFonts w:ascii="Cambria Math" w:eastAsiaTheme="minorEastAsia" w:hAnsi="Cambria Math"/>
                <w:sz w:val="20"/>
                <w:szCs w:val="20"/>
              </w:rPr>
              <m:t>T</m:t>
            </m:r>
          </m:e>
          <m:sup>
            <m:r>
              <w:rPr>
                <w:rFonts w:ascii="Cambria Math" w:eastAsiaTheme="minorEastAsia" w:hAnsi="Cambria Math"/>
                <w:sz w:val="20"/>
                <w:szCs w:val="20"/>
              </w:rPr>
              <m:t>A</m:t>
            </m:r>
          </m:sup>
        </m:sSup>
      </m:oMath>
      <w:r w:rsidR="004D7B93">
        <w:rPr>
          <w:rFonts w:eastAsiaTheme="minorEastAsia"/>
          <w:sz w:val="20"/>
          <w:szCs w:val="20"/>
        </w:rPr>
        <w:t xml:space="preserve">. The values of </w:t>
      </w:r>
      <m:oMath>
        <m:sSup>
          <m:sSupPr>
            <m:ctrlPr>
              <w:rPr>
                <w:rFonts w:ascii="Cambria Math" w:eastAsiaTheme="minorEastAsia" w:hAnsi="Cambria Math"/>
                <w:i/>
                <w:sz w:val="20"/>
                <w:szCs w:val="20"/>
              </w:rPr>
            </m:ctrlPr>
          </m:sSupPr>
          <m:e>
            <m:r>
              <w:rPr>
                <w:rFonts w:ascii="Cambria Math" w:eastAsiaTheme="minorEastAsia" w:hAnsi="Cambria Math"/>
                <w:sz w:val="20"/>
                <w:szCs w:val="20"/>
              </w:rPr>
              <m:t>T</m:t>
            </m:r>
          </m:e>
          <m:sup>
            <m:r>
              <w:rPr>
                <w:rFonts w:ascii="Cambria Math" w:eastAsiaTheme="minorEastAsia" w:hAnsi="Cambria Math"/>
                <w:sz w:val="20"/>
                <w:szCs w:val="20"/>
              </w:rPr>
              <m:t>L</m:t>
            </m:r>
          </m:sup>
        </m:sSup>
      </m:oMath>
      <w:r w:rsidR="004D7B93">
        <w:rPr>
          <w:rFonts w:eastAsiaTheme="minorEastAsia"/>
          <w:sz w:val="20"/>
          <w:szCs w:val="20"/>
        </w:rPr>
        <w:t xml:space="preserve"> and </w:t>
      </w:r>
      <m:oMath>
        <m:sSup>
          <m:sSupPr>
            <m:ctrlPr>
              <w:rPr>
                <w:rFonts w:ascii="Cambria Math" w:eastAsiaTheme="minorEastAsia" w:hAnsi="Cambria Math"/>
                <w:i/>
                <w:sz w:val="20"/>
                <w:szCs w:val="20"/>
              </w:rPr>
            </m:ctrlPr>
          </m:sSupPr>
          <m:e>
            <m:r>
              <w:rPr>
                <w:rFonts w:ascii="Cambria Math" w:eastAsiaTheme="minorEastAsia" w:hAnsi="Cambria Math"/>
                <w:sz w:val="20"/>
                <w:szCs w:val="20"/>
              </w:rPr>
              <m:t>T</m:t>
            </m:r>
          </m:e>
          <m:sup>
            <m:r>
              <w:rPr>
                <w:rFonts w:ascii="Cambria Math" w:eastAsiaTheme="minorEastAsia" w:hAnsi="Cambria Math"/>
                <w:sz w:val="20"/>
                <w:szCs w:val="20"/>
              </w:rPr>
              <m:t>A</m:t>
            </m:r>
          </m:sup>
        </m:sSup>
        <m:r>
          <w:rPr>
            <w:rFonts w:ascii="Cambria Math" w:eastAsiaTheme="minorEastAsia" w:hAnsi="Cambria Math"/>
            <w:sz w:val="20"/>
            <w:szCs w:val="20"/>
          </w:rPr>
          <m:t xml:space="preserve"> </m:t>
        </m:r>
      </m:oMath>
      <w:r w:rsidR="004D7B93">
        <w:rPr>
          <w:rFonts w:eastAsiaTheme="minorEastAsia"/>
          <w:sz w:val="20"/>
          <w:szCs w:val="20"/>
        </w:rPr>
        <w:t xml:space="preserve">for each tranche depend on credit support and principal amortization support balances as well as on the loss and amortization rates. </w:t>
      </w:r>
      <w:r w:rsidR="00534B2E">
        <w:rPr>
          <w:rFonts w:eastAsiaTheme="minorEastAsia"/>
          <w:sz w:val="20"/>
          <w:szCs w:val="20"/>
        </w:rPr>
        <w:t xml:space="preserve">By </w:t>
      </w:r>
      <m:oMath>
        <m:sSup>
          <m:sSupPr>
            <m:ctrlPr>
              <w:rPr>
                <w:rFonts w:ascii="Cambria Math" w:eastAsiaTheme="minorEastAsia" w:hAnsi="Cambria Math"/>
                <w:i/>
                <w:sz w:val="20"/>
                <w:szCs w:val="20"/>
              </w:rPr>
            </m:ctrlPr>
          </m:sSupPr>
          <m:e>
            <m:r>
              <w:rPr>
                <w:rFonts w:ascii="Cambria Math" w:eastAsiaTheme="minorEastAsia" w:hAnsi="Cambria Math"/>
                <w:sz w:val="20"/>
                <w:szCs w:val="20"/>
              </w:rPr>
              <m:t>T</m:t>
            </m:r>
          </m:e>
          <m:sup>
            <m:r>
              <w:rPr>
                <w:rFonts w:ascii="Cambria Math" w:eastAsiaTheme="minorEastAsia" w:hAnsi="Cambria Math"/>
                <w:sz w:val="20"/>
                <w:szCs w:val="20"/>
              </w:rPr>
              <m:t>min</m:t>
            </m:r>
          </m:sup>
        </m:sSup>
      </m:oMath>
      <w:r w:rsidR="00534B2E">
        <w:rPr>
          <w:rFonts w:eastAsiaTheme="minorEastAsia"/>
          <w:sz w:val="20"/>
          <w:szCs w:val="20"/>
        </w:rPr>
        <w:t xml:space="preserve"> and </w:t>
      </w:r>
      <m:oMath>
        <m:sSup>
          <m:sSupPr>
            <m:ctrlPr>
              <w:rPr>
                <w:rFonts w:ascii="Cambria Math" w:eastAsiaTheme="minorEastAsia" w:hAnsi="Cambria Math"/>
                <w:i/>
                <w:sz w:val="20"/>
                <w:szCs w:val="20"/>
              </w:rPr>
            </m:ctrlPr>
          </m:sSupPr>
          <m:e>
            <m:r>
              <w:rPr>
                <w:rFonts w:ascii="Cambria Math" w:eastAsiaTheme="minorEastAsia" w:hAnsi="Cambria Math"/>
                <w:sz w:val="20"/>
                <w:szCs w:val="20"/>
              </w:rPr>
              <m:t>T</m:t>
            </m:r>
          </m:e>
          <m:sup>
            <m:r>
              <w:rPr>
                <w:rFonts w:ascii="Cambria Math" w:eastAsiaTheme="minorEastAsia" w:hAnsi="Cambria Math"/>
                <w:sz w:val="20"/>
                <w:szCs w:val="20"/>
              </w:rPr>
              <m:t>max</m:t>
            </m:r>
          </m:sup>
        </m:sSup>
      </m:oMath>
      <w:r w:rsidR="00534B2E">
        <w:rPr>
          <w:rFonts w:eastAsiaTheme="minorEastAsia"/>
          <w:sz w:val="20"/>
          <w:szCs w:val="20"/>
        </w:rPr>
        <w:t xml:space="preserve"> we denote </w:t>
      </w:r>
      <m:oMath>
        <m:sSup>
          <m:sSupPr>
            <m:ctrlPr>
              <w:rPr>
                <w:rFonts w:ascii="Cambria Math" w:eastAsiaTheme="minorEastAsia" w:hAnsi="Cambria Math"/>
                <w:i/>
                <w:sz w:val="20"/>
                <w:szCs w:val="20"/>
              </w:rPr>
            </m:ctrlPr>
          </m:sSupPr>
          <m:e>
            <m:r>
              <w:rPr>
                <w:rFonts w:ascii="Cambria Math" w:eastAsiaTheme="minorEastAsia" w:hAnsi="Cambria Math"/>
                <w:sz w:val="20"/>
                <w:szCs w:val="20"/>
              </w:rPr>
              <m:t>T</m:t>
            </m:r>
          </m:e>
          <m:sup>
            <m:r>
              <w:rPr>
                <w:rFonts w:ascii="Cambria Math" w:eastAsiaTheme="minorEastAsia" w:hAnsi="Cambria Math"/>
                <w:sz w:val="20"/>
                <w:szCs w:val="20"/>
              </w:rPr>
              <m:t>min</m:t>
            </m:r>
          </m:sup>
        </m:sSup>
        <m:r>
          <w:rPr>
            <w:rFonts w:ascii="Cambria Math" w:eastAsiaTheme="minorEastAsia" w:hAnsi="Cambria Math"/>
            <w:sz w:val="20"/>
            <w:szCs w:val="20"/>
          </w:rPr>
          <m:t>=min</m:t>
        </m:r>
        <m:d>
          <m:dPr>
            <m:ctrlPr>
              <w:rPr>
                <w:rFonts w:ascii="Cambria Math" w:eastAsiaTheme="minorEastAsia" w:hAnsi="Cambria Math"/>
                <w:i/>
                <w:sz w:val="20"/>
                <w:szCs w:val="20"/>
              </w:rPr>
            </m:ctrlPr>
          </m:dPr>
          <m:e>
            <m:sSup>
              <m:sSupPr>
                <m:ctrlPr>
                  <w:rPr>
                    <w:rFonts w:ascii="Cambria Math" w:eastAsiaTheme="minorEastAsia" w:hAnsi="Cambria Math"/>
                    <w:i/>
                    <w:sz w:val="20"/>
                    <w:szCs w:val="20"/>
                  </w:rPr>
                </m:ctrlPr>
              </m:sSupPr>
              <m:e>
                <m:r>
                  <w:rPr>
                    <w:rFonts w:ascii="Cambria Math" w:eastAsiaTheme="minorEastAsia" w:hAnsi="Cambria Math"/>
                    <w:sz w:val="20"/>
                    <w:szCs w:val="20"/>
                  </w:rPr>
                  <m:t>T</m:t>
                </m:r>
              </m:e>
              <m:sup>
                <m:r>
                  <w:rPr>
                    <w:rFonts w:ascii="Cambria Math" w:eastAsiaTheme="minorEastAsia" w:hAnsi="Cambria Math"/>
                    <w:sz w:val="20"/>
                    <w:szCs w:val="20"/>
                  </w:rPr>
                  <m:t>L</m:t>
                </m:r>
              </m:sup>
            </m:sSup>
            <m:r>
              <w:rPr>
                <w:rFonts w:ascii="Cambria Math" w:eastAsiaTheme="minorEastAsia" w:hAnsi="Cambria Math"/>
                <w:sz w:val="20"/>
                <w:szCs w:val="20"/>
              </w:rPr>
              <m:t xml:space="preserve">, </m:t>
            </m:r>
            <m:sSup>
              <m:sSupPr>
                <m:ctrlPr>
                  <w:rPr>
                    <w:rFonts w:ascii="Cambria Math" w:eastAsiaTheme="minorEastAsia" w:hAnsi="Cambria Math"/>
                    <w:i/>
                    <w:sz w:val="20"/>
                    <w:szCs w:val="20"/>
                  </w:rPr>
                </m:ctrlPr>
              </m:sSupPr>
              <m:e>
                <m:r>
                  <w:rPr>
                    <w:rFonts w:ascii="Cambria Math" w:eastAsiaTheme="minorEastAsia" w:hAnsi="Cambria Math"/>
                    <w:sz w:val="20"/>
                    <w:szCs w:val="20"/>
                  </w:rPr>
                  <m:t>T</m:t>
                </m:r>
              </m:e>
              <m:sup>
                <m:r>
                  <w:rPr>
                    <w:rFonts w:ascii="Cambria Math" w:eastAsiaTheme="minorEastAsia" w:hAnsi="Cambria Math"/>
                    <w:sz w:val="20"/>
                    <w:szCs w:val="20"/>
                  </w:rPr>
                  <m:t>A</m:t>
                </m:r>
              </m:sup>
            </m:sSup>
          </m:e>
        </m:d>
      </m:oMath>
      <w:r w:rsidR="003F0B3F">
        <w:rPr>
          <w:rFonts w:eastAsiaTheme="minorEastAsia"/>
          <w:sz w:val="20"/>
          <w:szCs w:val="20"/>
        </w:rPr>
        <w:t xml:space="preserve"> and </w:t>
      </w:r>
      <m:oMath>
        <m:sSup>
          <m:sSupPr>
            <m:ctrlPr>
              <w:rPr>
                <w:rFonts w:ascii="Cambria Math" w:eastAsiaTheme="minorEastAsia" w:hAnsi="Cambria Math"/>
                <w:i/>
                <w:sz w:val="20"/>
                <w:szCs w:val="20"/>
              </w:rPr>
            </m:ctrlPr>
          </m:sSupPr>
          <m:e>
            <m:r>
              <w:rPr>
                <w:rFonts w:ascii="Cambria Math" w:eastAsiaTheme="minorEastAsia" w:hAnsi="Cambria Math"/>
                <w:sz w:val="20"/>
                <w:szCs w:val="20"/>
              </w:rPr>
              <m:t>T</m:t>
            </m:r>
          </m:e>
          <m:sup>
            <m:r>
              <w:rPr>
                <w:rFonts w:ascii="Cambria Math" w:eastAsiaTheme="minorEastAsia" w:hAnsi="Cambria Math"/>
                <w:sz w:val="20"/>
                <w:szCs w:val="20"/>
              </w:rPr>
              <m:t>max</m:t>
            </m:r>
          </m:sup>
        </m:sSup>
        <m:r>
          <w:rPr>
            <w:rFonts w:ascii="Cambria Math" w:eastAsiaTheme="minorEastAsia" w:hAnsi="Cambria Math"/>
            <w:sz w:val="20"/>
            <w:szCs w:val="20"/>
          </w:rPr>
          <m:t>=max</m:t>
        </m:r>
        <m:d>
          <m:dPr>
            <m:ctrlPr>
              <w:rPr>
                <w:rFonts w:ascii="Cambria Math" w:eastAsiaTheme="minorEastAsia" w:hAnsi="Cambria Math"/>
                <w:i/>
                <w:sz w:val="20"/>
                <w:szCs w:val="20"/>
              </w:rPr>
            </m:ctrlPr>
          </m:dPr>
          <m:e>
            <m:sSup>
              <m:sSupPr>
                <m:ctrlPr>
                  <w:rPr>
                    <w:rFonts w:ascii="Cambria Math" w:eastAsiaTheme="minorEastAsia" w:hAnsi="Cambria Math"/>
                    <w:i/>
                    <w:sz w:val="20"/>
                    <w:szCs w:val="20"/>
                  </w:rPr>
                </m:ctrlPr>
              </m:sSupPr>
              <m:e>
                <m:r>
                  <w:rPr>
                    <w:rFonts w:ascii="Cambria Math" w:eastAsiaTheme="minorEastAsia" w:hAnsi="Cambria Math"/>
                    <w:sz w:val="20"/>
                    <w:szCs w:val="20"/>
                  </w:rPr>
                  <m:t>T</m:t>
                </m:r>
              </m:e>
              <m:sup>
                <m:r>
                  <w:rPr>
                    <w:rFonts w:ascii="Cambria Math" w:eastAsiaTheme="minorEastAsia" w:hAnsi="Cambria Math"/>
                    <w:sz w:val="20"/>
                    <w:szCs w:val="20"/>
                  </w:rPr>
                  <m:t>L</m:t>
                </m:r>
              </m:sup>
            </m:sSup>
            <m:r>
              <w:rPr>
                <w:rFonts w:ascii="Cambria Math" w:eastAsiaTheme="minorEastAsia" w:hAnsi="Cambria Math"/>
                <w:sz w:val="20"/>
                <w:szCs w:val="20"/>
              </w:rPr>
              <m:t xml:space="preserve">, </m:t>
            </m:r>
            <m:sSup>
              <m:sSupPr>
                <m:ctrlPr>
                  <w:rPr>
                    <w:rFonts w:ascii="Cambria Math" w:eastAsiaTheme="minorEastAsia" w:hAnsi="Cambria Math"/>
                    <w:i/>
                    <w:sz w:val="20"/>
                    <w:szCs w:val="20"/>
                  </w:rPr>
                </m:ctrlPr>
              </m:sSupPr>
              <m:e>
                <m:r>
                  <w:rPr>
                    <w:rFonts w:ascii="Cambria Math" w:eastAsiaTheme="minorEastAsia" w:hAnsi="Cambria Math"/>
                    <w:sz w:val="20"/>
                    <w:szCs w:val="20"/>
                  </w:rPr>
                  <m:t>T</m:t>
                </m:r>
              </m:e>
              <m:sup>
                <m:r>
                  <w:rPr>
                    <w:rFonts w:ascii="Cambria Math" w:eastAsiaTheme="minorEastAsia" w:hAnsi="Cambria Math"/>
                    <w:sz w:val="20"/>
                    <w:szCs w:val="20"/>
                  </w:rPr>
                  <m:t>A</m:t>
                </m:r>
              </m:sup>
            </m:sSup>
          </m:e>
        </m:d>
      </m:oMath>
      <w:r w:rsidR="003F0B3F">
        <w:rPr>
          <w:rFonts w:eastAsiaTheme="minorEastAsia"/>
          <w:sz w:val="20"/>
          <w:szCs w:val="20"/>
        </w:rPr>
        <w:t xml:space="preserve">. </w:t>
      </w:r>
    </w:p>
    <w:p w:rsidR="00B9642E" w:rsidRDefault="00137EC7" w:rsidP="00A553F7">
      <w:pPr>
        <w:rPr>
          <w:rFonts w:eastAsiaTheme="minorEastAsia"/>
          <w:sz w:val="20"/>
          <w:szCs w:val="20"/>
        </w:rPr>
      </w:pPr>
      <w:r>
        <w:rPr>
          <w:rFonts w:eastAsiaTheme="minorEastAsia"/>
          <w:sz w:val="20"/>
          <w:szCs w:val="20"/>
        </w:rPr>
        <w:t xml:space="preserve">Suppose that </w:t>
      </w:r>
      <w:r w:rsidR="00983940">
        <w:rPr>
          <w:rFonts w:eastAsiaTheme="minorEastAsia"/>
          <w:sz w:val="20"/>
          <w:szCs w:val="20"/>
        </w:rPr>
        <w:t xml:space="preserve"> </w:t>
      </w:r>
      <m:oMath>
        <m:r>
          <w:rPr>
            <w:rFonts w:ascii="Cambria Math" w:eastAsiaTheme="minorEastAsia" w:hAnsi="Cambria Math"/>
            <w:sz w:val="20"/>
            <w:szCs w:val="20"/>
          </w:rPr>
          <m:t>i</m:t>
        </m:r>
      </m:oMath>
      <w:r>
        <w:rPr>
          <w:rFonts w:eastAsiaTheme="minorEastAsia"/>
          <w:sz w:val="20"/>
          <w:szCs w:val="20"/>
        </w:rPr>
        <w:t xml:space="preserve"> represents the coupon rate and </w:t>
      </w:r>
      <m:oMath>
        <m:r>
          <w:rPr>
            <w:rFonts w:ascii="Cambria Math" w:eastAsiaTheme="minorEastAsia" w:hAnsi="Cambria Math"/>
            <w:sz w:val="20"/>
            <w:szCs w:val="20"/>
          </w:rPr>
          <m:t>y</m:t>
        </m:r>
      </m:oMath>
      <w:r>
        <w:rPr>
          <w:rFonts w:eastAsiaTheme="minorEastAsia"/>
          <w:sz w:val="20"/>
          <w:szCs w:val="20"/>
        </w:rPr>
        <w:t xml:space="preserve"> represents the risk-free discount rate.</w:t>
      </w:r>
      <w:r w:rsidR="00A35302">
        <w:rPr>
          <w:rFonts w:eastAsiaTheme="minorEastAsia"/>
          <w:sz w:val="20"/>
          <w:szCs w:val="20"/>
        </w:rPr>
        <w:t xml:space="preserve"> If original balance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0</m:t>
            </m:r>
          </m:sub>
        </m:sSub>
      </m:oMath>
      <w:r w:rsidR="00A35302">
        <w:rPr>
          <w:rFonts w:eastAsiaTheme="minorEastAsia"/>
          <w:sz w:val="20"/>
          <w:szCs w:val="20"/>
        </w:rPr>
        <w:t xml:space="preserve"> then outstanding balance in period </w:t>
      </w:r>
      <m:oMath>
        <m:r>
          <w:rPr>
            <w:rFonts w:ascii="Cambria Math" w:eastAsiaTheme="minorEastAsia" w:hAnsi="Cambria Math"/>
            <w:sz w:val="20"/>
            <w:szCs w:val="20"/>
          </w:rPr>
          <m:t>t≥</m:t>
        </m:r>
        <m:sSup>
          <m:sSupPr>
            <m:ctrlPr>
              <w:rPr>
                <w:rFonts w:ascii="Cambria Math" w:eastAsiaTheme="minorEastAsia" w:hAnsi="Cambria Math"/>
                <w:i/>
                <w:sz w:val="20"/>
                <w:szCs w:val="20"/>
              </w:rPr>
            </m:ctrlPr>
          </m:sSupPr>
          <m:e>
            <m:r>
              <w:rPr>
                <w:rFonts w:ascii="Cambria Math" w:eastAsiaTheme="minorEastAsia" w:hAnsi="Cambria Math"/>
                <w:sz w:val="20"/>
                <w:szCs w:val="20"/>
              </w:rPr>
              <m:t>T</m:t>
            </m:r>
          </m:e>
          <m:sup>
            <m:r>
              <w:rPr>
                <w:rFonts w:ascii="Cambria Math" w:eastAsiaTheme="minorEastAsia" w:hAnsi="Cambria Math"/>
                <w:sz w:val="20"/>
                <w:szCs w:val="20"/>
              </w:rPr>
              <m:t>max</m:t>
            </m:r>
          </m:sup>
        </m:sSup>
      </m:oMath>
      <w:r w:rsidR="00A35302">
        <w:rPr>
          <w:rFonts w:eastAsiaTheme="minorEastAsia"/>
          <w:sz w:val="20"/>
          <w:szCs w:val="20"/>
        </w:rPr>
        <w:t xml:space="preserve">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t</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sSup>
              <m:sSupPr>
                <m:ctrlPr>
                  <w:rPr>
                    <w:rFonts w:ascii="Cambria Math" w:eastAsiaTheme="minorEastAsia" w:hAnsi="Cambria Math"/>
                    <w:i/>
                    <w:sz w:val="20"/>
                    <w:szCs w:val="20"/>
                  </w:rPr>
                </m:ctrlPr>
              </m:sSupPr>
              <m:e>
                <m:r>
                  <w:rPr>
                    <w:rFonts w:ascii="Cambria Math" w:eastAsiaTheme="minorEastAsia" w:hAnsi="Cambria Math"/>
                    <w:sz w:val="20"/>
                    <w:szCs w:val="20"/>
                  </w:rPr>
                  <m:t>T</m:t>
                </m:r>
              </m:e>
              <m:sup>
                <m:r>
                  <w:rPr>
                    <w:rFonts w:ascii="Cambria Math" w:eastAsiaTheme="minorEastAsia" w:hAnsi="Cambria Math"/>
                    <w:sz w:val="20"/>
                    <w:szCs w:val="20"/>
                  </w:rPr>
                  <m:t>max</m:t>
                </m:r>
              </m:sup>
            </m:sSup>
          </m:sub>
        </m:sSub>
        <m:r>
          <w:rPr>
            <w:rFonts w:ascii="Cambria Math" w:eastAsiaTheme="minorEastAsia" w:hAnsi="Cambria Math"/>
            <w:sz w:val="20"/>
            <w:szCs w:val="20"/>
          </w:rPr>
          <m:t>-</m:t>
        </m:r>
        <m:d>
          <m:dPr>
            <m:ctrlPr>
              <w:rPr>
                <w:rFonts w:ascii="Cambria Math" w:eastAsiaTheme="minorEastAsia" w:hAnsi="Cambria Math"/>
                <w:i/>
                <w:sz w:val="20"/>
                <w:szCs w:val="20"/>
              </w:rPr>
            </m:ctrlPr>
          </m:dPr>
          <m:e>
            <m:r>
              <w:rPr>
                <w:rFonts w:ascii="Cambria Math" w:eastAsiaTheme="minorEastAsia" w:hAnsi="Cambria Math"/>
                <w:sz w:val="20"/>
                <w:szCs w:val="20"/>
              </w:rPr>
              <m:t>t-</m:t>
            </m:r>
            <m:sSup>
              <m:sSupPr>
                <m:ctrlPr>
                  <w:rPr>
                    <w:rFonts w:ascii="Cambria Math" w:eastAsiaTheme="minorEastAsia" w:hAnsi="Cambria Math"/>
                    <w:i/>
                    <w:sz w:val="20"/>
                    <w:szCs w:val="20"/>
                  </w:rPr>
                </m:ctrlPr>
              </m:sSupPr>
              <m:e>
                <m:r>
                  <w:rPr>
                    <w:rFonts w:ascii="Cambria Math" w:eastAsiaTheme="minorEastAsia" w:hAnsi="Cambria Math"/>
                    <w:sz w:val="20"/>
                    <w:szCs w:val="20"/>
                  </w:rPr>
                  <m:t>T</m:t>
                </m:r>
              </m:e>
              <m:sup>
                <m:r>
                  <w:rPr>
                    <w:rFonts w:ascii="Cambria Math" w:eastAsiaTheme="minorEastAsia" w:hAnsi="Cambria Math"/>
                    <w:sz w:val="20"/>
                    <w:szCs w:val="20"/>
                  </w:rPr>
                  <m:t>max</m:t>
                </m:r>
              </m:sup>
            </m:sSup>
          </m:e>
        </m:d>
        <m:d>
          <m:dPr>
            <m:ctrlPr>
              <w:rPr>
                <w:rFonts w:ascii="Cambria Math" w:eastAsiaTheme="minorEastAsia" w:hAnsi="Cambria Math"/>
                <w:i/>
                <w:sz w:val="20"/>
                <w:szCs w:val="20"/>
              </w:rPr>
            </m:ctrlPr>
          </m:dPr>
          <m:e>
            <m:r>
              <w:rPr>
                <w:rFonts w:ascii="Cambria Math" w:eastAsiaTheme="minorEastAsia" w:hAnsi="Cambria Math"/>
                <w:sz w:val="20"/>
                <w:szCs w:val="20"/>
              </w:rPr>
              <m:t>L+X</m:t>
            </m:r>
          </m:e>
        </m:d>
      </m:oMath>
      <w:r w:rsidR="00A35302">
        <w:rPr>
          <w:rFonts w:eastAsiaTheme="minorEastAsia"/>
          <w:sz w:val="20"/>
          <w:szCs w:val="20"/>
        </w:rPr>
        <w:t xml:space="preserve">. </w:t>
      </w:r>
      <w:r w:rsidR="00C15E00">
        <w:rPr>
          <w:rFonts w:eastAsiaTheme="minorEastAsia"/>
          <w:sz w:val="20"/>
          <w:szCs w:val="20"/>
        </w:rPr>
        <w:t>The balance is reduced to zero (</w:t>
      </w:r>
      <m:oMath>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T</m:t>
            </m:r>
          </m:sub>
        </m:sSub>
        <m:r>
          <w:rPr>
            <w:rFonts w:ascii="Cambria Math" w:eastAsiaTheme="minorEastAsia" w:hAnsi="Cambria Math"/>
            <w:sz w:val="20"/>
            <w:szCs w:val="20"/>
          </w:rPr>
          <m:t>=0</m:t>
        </m:r>
      </m:oMath>
      <w:r w:rsidR="00C15E00">
        <w:rPr>
          <w:rFonts w:eastAsiaTheme="minorEastAsia"/>
          <w:sz w:val="20"/>
          <w:szCs w:val="20"/>
        </w:rPr>
        <w:t xml:space="preserve">) in period </w:t>
      </w:r>
      <m:oMath>
        <m:r>
          <w:rPr>
            <w:rFonts w:ascii="Cambria Math" w:eastAsiaTheme="minorEastAsia" w:hAnsi="Cambria Math"/>
            <w:sz w:val="20"/>
            <w:szCs w:val="20"/>
          </w:rPr>
          <m:t>T=</m:t>
        </m:r>
        <m:sSup>
          <m:sSupPr>
            <m:ctrlPr>
              <w:rPr>
                <w:rFonts w:ascii="Cambria Math" w:eastAsiaTheme="minorEastAsia" w:hAnsi="Cambria Math"/>
                <w:i/>
                <w:sz w:val="20"/>
                <w:szCs w:val="20"/>
              </w:rPr>
            </m:ctrlPr>
          </m:sSupPr>
          <m:e>
            <m:r>
              <w:rPr>
                <w:rFonts w:ascii="Cambria Math" w:eastAsiaTheme="minorEastAsia" w:hAnsi="Cambria Math"/>
                <w:sz w:val="20"/>
                <w:szCs w:val="20"/>
              </w:rPr>
              <m:t>T</m:t>
            </m:r>
          </m:e>
          <m:sup>
            <m:r>
              <w:rPr>
                <w:rFonts w:ascii="Cambria Math" w:eastAsiaTheme="minorEastAsia" w:hAnsi="Cambria Math"/>
                <w:sz w:val="20"/>
                <w:szCs w:val="20"/>
              </w:rPr>
              <m:t>max</m:t>
            </m:r>
          </m:sup>
        </m:sSup>
        <m:r>
          <w:rPr>
            <w:rFonts w:ascii="Cambria Math" w:eastAsiaTheme="minorEastAsia" w:hAnsi="Cambria Math"/>
            <w:sz w:val="20"/>
            <w:szCs w:val="20"/>
          </w:rPr>
          <m:t>+</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sSup>
                  <m:sSupPr>
                    <m:ctrlPr>
                      <w:rPr>
                        <w:rFonts w:ascii="Cambria Math" w:eastAsiaTheme="minorEastAsia" w:hAnsi="Cambria Math"/>
                        <w:i/>
                        <w:sz w:val="20"/>
                        <w:szCs w:val="20"/>
                      </w:rPr>
                    </m:ctrlPr>
                  </m:sSupPr>
                  <m:e>
                    <m:r>
                      <w:rPr>
                        <w:rFonts w:ascii="Cambria Math" w:eastAsiaTheme="minorEastAsia" w:hAnsi="Cambria Math"/>
                        <w:sz w:val="20"/>
                        <w:szCs w:val="20"/>
                      </w:rPr>
                      <m:t>T</m:t>
                    </m:r>
                  </m:e>
                  <m:sup>
                    <m:r>
                      <w:rPr>
                        <w:rFonts w:ascii="Cambria Math" w:eastAsiaTheme="minorEastAsia" w:hAnsi="Cambria Math"/>
                        <w:sz w:val="20"/>
                        <w:szCs w:val="20"/>
                      </w:rPr>
                      <m:t>max</m:t>
                    </m:r>
                  </m:sup>
                </m:sSup>
              </m:sub>
            </m:sSub>
          </m:num>
          <m:den>
            <m:r>
              <w:rPr>
                <w:rFonts w:ascii="Cambria Math" w:eastAsiaTheme="minorEastAsia" w:hAnsi="Cambria Math"/>
                <w:sz w:val="20"/>
                <w:szCs w:val="20"/>
              </w:rPr>
              <m:t>L+X</m:t>
            </m:r>
          </m:den>
        </m:f>
      </m:oMath>
      <w:r w:rsidR="00C15E00">
        <w:rPr>
          <w:rFonts w:eastAsiaTheme="minorEastAsia"/>
          <w:sz w:val="20"/>
          <w:szCs w:val="20"/>
        </w:rPr>
        <w:t xml:space="preserve">. </w:t>
      </w:r>
      <w:r w:rsidR="004E68AE">
        <w:rPr>
          <w:rFonts w:eastAsiaTheme="minorEastAsia"/>
          <w:sz w:val="20"/>
          <w:szCs w:val="20"/>
        </w:rPr>
        <w:t>The NPV value</w:t>
      </w:r>
      <m:oMath>
        <m:r>
          <w:rPr>
            <w:rStyle w:val="FootnoteReference"/>
            <w:rFonts w:ascii="Cambria Math" w:eastAsiaTheme="minorEastAsia" w:hAnsi="Cambria Math"/>
            <w:i/>
            <w:sz w:val="20"/>
            <w:szCs w:val="20"/>
          </w:rPr>
          <w:footnoteReference w:id="3"/>
        </m:r>
      </m:oMath>
      <w:r w:rsidR="004E68AE">
        <w:rPr>
          <w:rFonts w:eastAsiaTheme="minorEastAsia"/>
          <w:sz w:val="20"/>
          <w:szCs w:val="20"/>
        </w:rPr>
        <w:t xml:space="preserve"> of the amortized principle amounts is</w:t>
      </w:r>
    </w:p>
    <w:p w:rsidR="004C3767" w:rsidRDefault="005836E9" w:rsidP="00B9642E">
      <w:pPr>
        <w:jc w:val="center"/>
        <w:rPr>
          <w:rFonts w:eastAsiaTheme="minorEastAsia"/>
          <w:sz w:val="20"/>
          <w:szCs w:val="20"/>
        </w:rPr>
      </w:pPr>
      <m:oMath>
        <m:sSup>
          <m:sSupPr>
            <m:ctrlPr>
              <w:rPr>
                <w:rFonts w:ascii="Cambria Math" w:eastAsiaTheme="minorEastAsia" w:hAnsi="Cambria Math"/>
                <w:i/>
                <w:sz w:val="20"/>
                <w:szCs w:val="20"/>
              </w:rPr>
            </m:ctrlPr>
          </m:sSupPr>
          <m:e>
            <m:r>
              <w:rPr>
                <w:rFonts w:ascii="Cambria Math" w:eastAsiaTheme="minorEastAsia" w:hAnsi="Cambria Math"/>
                <w:sz w:val="20"/>
                <w:szCs w:val="20"/>
              </w:rPr>
              <m:t>P</m:t>
            </m:r>
          </m:e>
          <m:sup>
            <m:r>
              <w:rPr>
                <w:rFonts w:ascii="Cambria Math" w:eastAsiaTheme="minorEastAsia" w:hAnsi="Cambria Math"/>
                <w:sz w:val="20"/>
                <w:szCs w:val="20"/>
              </w:rPr>
              <m:t>X</m:t>
            </m:r>
          </m:sup>
        </m:sSup>
        <m:r>
          <w:rPr>
            <w:rFonts w:ascii="Cambria Math" w:eastAsiaTheme="minorEastAsia" w:hAnsi="Cambria Math"/>
            <w:sz w:val="20"/>
            <w:szCs w:val="20"/>
          </w:rPr>
          <m:t>=</m:t>
        </m:r>
        <m:nary>
          <m:naryPr>
            <m:chr m:val="∑"/>
            <m:limLoc m:val="undOvr"/>
            <m:supHide m:val="1"/>
            <m:ctrlPr>
              <w:rPr>
                <w:rFonts w:ascii="Cambria Math" w:eastAsiaTheme="minorEastAsia" w:hAnsi="Cambria Math"/>
                <w:i/>
                <w:sz w:val="20"/>
                <w:szCs w:val="20"/>
              </w:rPr>
            </m:ctrlPr>
          </m:naryPr>
          <m:sub>
            <m:r>
              <w:rPr>
                <w:rFonts w:ascii="Cambria Math" w:eastAsiaTheme="minorEastAsia" w:hAnsi="Cambria Math"/>
                <w:sz w:val="20"/>
                <w:szCs w:val="20"/>
              </w:rPr>
              <m:t>t</m:t>
            </m:r>
          </m:sub>
          <m:sup/>
          <m:e>
            <m:f>
              <m:fPr>
                <m:ctrlPr>
                  <w:rPr>
                    <w:rFonts w:ascii="Cambria Math" w:eastAsiaTheme="minorEastAsia" w:hAnsi="Cambria Math"/>
                    <w:i/>
                    <w:sz w:val="20"/>
                    <w:szCs w:val="20"/>
                  </w:rPr>
                </m:ctrlPr>
              </m:fPr>
              <m:num>
                <m:r>
                  <w:rPr>
                    <w:rFonts w:ascii="Cambria Math" w:eastAsiaTheme="minorEastAsia" w:hAnsi="Cambria Math"/>
                    <w:sz w:val="20"/>
                    <w:szCs w:val="20"/>
                  </w:rPr>
                  <m:t>X</m:t>
                </m:r>
              </m:num>
              <m:den>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r>
                          <w:rPr>
                            <w:rFonts w:ascii="Cambria Math" w:eastAsiaTheme="minorEastAsia" w:hAnsi="Cambria Math"/>
                            <w:sz w:val="20"/>
                            <w:szCs w:val="20"/>
                          </w:rPr>
                          <m:t>1+y</m:t>
                        </m:r>
                      </m:e>
                    </m:d>
                  </m:e>
                  <m:sup>
                    <m:r>
                      <w:rPr>
                        <w:rFonts w:ascii="Cambria Math" w:eastAsiaTheme="minorEastAsia" w:hAnsi="Cambria Math"/>
                        <w:sz w:val="20"/>
                        <w:szCs w:val="20"/>
                      </w:rPr>
                      <m:t>t</m:t>
                    </m:r>
                  </m:sup>
                </m:sSup>
              </m:den>
            </m:f>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1</m:t>
                </m:r>
              </m:num>
              <m:den>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r>
                          <w:rPr>
                            <w:rFonts w:ascii="Cambria Math" w:eastAsiaTheme="minorEastAsia" w:hAnsi="Cambria Math"/>
                            <w:sz w:val="20"/>
                            <w:szCs w:val="20"/>
                          </w:rPr>
                          <m:t>1+y</m:t>
                        </m:r>
                      </m:e>
                    </m:d>
                  </m:e>
                  <m:sup>
                    <m:sSup>
                      <m:sSupPr>
                        <m:ctrlPr>
                          <w:rPr>
                            <w:rFonts w:ascii="Cambria Math" w:eastAsiaTheme="minorEastAsia" w:hAnsi="Cambria Math"/>
                            <w:i/>
                            <w:sz w:val="20"/>
                            <w:szCs w:val="20"/>
                          </w:rPr>
                        </m:ctrlPr>
                      </m:sSupPr>
                      <m:e>
                        <m:r>
                          <w:rPr>
                            <w:rFonts w:ascii="Cambria Math" w:eastAsiaTheme="minorEastAsia" w:hAnsi="Cambria Math"/>
                            <w:sz w:val="20"/>
                            <w:szCs w:val="20"/>
                          </w:rPr>
                          <m:t>T</m:t>
                        </m:r>
                      </m:e>
                      <m:sup>
                        <m:r>
                          <w:rPr>
                            <w:rFonts w:ascii="Cambria Math" w:eastAsiaTheme="minorEastAsia" w:hAnsi="Cambria Math"/>
                            <w:sz w:val="20"/>
                            <w:szCs w:val="20"/>
                          </w:rPr>
                          <m:t>max</m:t>
                        </m:r>
                      </m:sup>
                    </m:sSup>
                  </m:sup>
                </m:sSup>
              </m:den>
            </m:f>
            <m:d>
              <m:dPr>
                <m:begChr m:val="["/>
                <m:endChr m:val="]"/>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w:rPr>
                        <w:rFonts w:ascii="Cambria Math" w:eastAsiaTheme="minorEastAsia" w:hAnsi="Cambria Math"/>
                        <w:sz w:val="20"/>
                        <w:szCs w:val="20"/>
                      </w:rPr>
                      <m:t>X</m:t>
                    </m:r>
                  </m:num>
                  <m:den>
                    <m:r>
                      <w:rPr>
                        <w:rFonts w:ascii="Cambria Math" w:eastAsiaTheme="minorEastAsia" w:hAnsi="Cambria Math"/>
                        <w:sz w:val="20"/>
                        <w:szCs w:val="20"/>
                      </w:rPr>
                      <m:t>y</m:t>
                    </m:r>
                  </m:den>
                </m:f>
                <m:d>
                  <m:dPr>
                    <m:ctrlPr>
                      <w:rPr>
                        <w:rFonts w:ascii="Cambria Math" w:eastAsiaTheme="minorEastAsia" w:hAnsi="Cambria Math"/>
                        <w:i/>
                        <w:sz w:val="20"/>
                        <w:szCs w:val="20"/>
                      </w:rPr>
                    </m:ctrlPr>
                  </m:dPr>
                  <m:e>
                    <m:r>
                      <w:rPr>
                        <w:rFonts w:ascii="Cambria Math" w:eastAsiaTheme="minorEastAsia" w:hAnsi="Cambria Math"/>
                        <w:sz w:val="20"/>
                        <w:szCs w:val="20"/>
                      </w:rPr>
                      <m:t>1-</m:t>
                    </m:r>
                    <m:f>
                      <m:fPr>
                        <m:ctrlPr>
                          <w:rPr>
                            <w:rFonts w:ascii="Cambria Math" w:eastAsiaTheme="minorEastAsia" w:hAnsi="Cambria Math"/>
                            <w:i/>
                            <w:sz w:val="20"/>
                            <w:szCs w:val="20"/>
                          </w:rPr>
                        </m:ctrlPr>
                      </m:fPr>
                      <m:num>
                        <m:r>
                          <w:rPr>
                            <w:rFonts w:ascii="Cambria Math" w:eastAsiaTheme="minorEastAsia" w:hAnsi="Cambria Math"/>
                            <w:sz w:val="20"/>
                            <w:szCs w:val="20"/>
                          </w:rPr>
                          <m:t>1</m:t>
                        </m:r>
                      </m:num>
                      <m:den>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r>
                                  <w:rPr>
                                    <w:rFonts w:ascii="Cambria Math" w:eastAsiaTheme="minorEastAsia" w:hAnsi="Cambria Math"/>
                                    <w:sz w:val="20"/>
                                    <w:szCs w:val="20"/>
                                  </w:rPr>
                                  <m:t>1+y</m:t>
                                </m:r>
                              </m:e>
                            </m:d>
                          </m:e>
                          <m:sup>
                            <m:r>
                              <w:rPr>
                                <w:rFonts w:ascii="Cambria Math" w:eastAsiaTheme="minorEastAsia" w:hAnsi="Cambria Math"/>
                                <w:sz w:val="20"/>
                                <w:szCs w:val="20"/>
                              </w:rPr>
                              <m:t>T-</m:t>
                            </m:r>
                            <m:sSup>
                              <m:sSupPr>
                                <m:ctrlPr>
                                  <w:rPr>
                                    <w:rFonts w:ascii="Cambria Math" w:eastAsiaTheme="minorEastAsia" w:hAnsi="Cambria Math"/>
                                    <w:i/>
                                    <w:sz w:val="20"/>
                                    <w:szCs w:val="20"/>
                                  </w:rPr>
                                </m:ctrlPr>
                              </m:sSupPr>
                              <m:e>
                                <m:r>
                                  <w:rPr>
                                    <w:rFonts w:ascii="Cambria Math" w:eastAsiaTheme="minorEastAsia" w:hAnsi="Cambria Math"/>
                                    <w:sz w:val="20"/>
                                    <w:szCs w:val="20"/>
                                  </w:rPr>
                                  <m:t>T</m:t>
                                </m:r>
                              </m:e>
                              <m:sup>
                                <m:r>
                                  <w:rPr>
                                    <w:rFonts w:ascii="Cambria Math" w:eastAsiaTheme="minorEastAsia" w:hAnsi="Cambria Math"/>
                                    <w:sz w:val="20"/>
                                    <w:szCs w:val="20"/>
                                  </w:rPr>
                                  <m:t>max</m:t>
                                </m:r>
                              </m:sup>
                            </m:sSup>
                          </m:sup>
                        </m:sSup>
                      </m:den>
                    </m:f>
                  </m:e>
                </m:d>
              </m:e>
            </m:d>
          </m:e>
        </m:nary>
      </m:oMath>
      <w:r w:rsidR="004E68AE">
        <w:rPr>
          <w:rFonts w:eastAsiaTheme="minorEastAsia"/>
          <w:sz w:val="20"/>
          <w:szCs w:val="20"/>
        </w:rPr>
        <w:t>.</w:t>
      </w:r>
    </w:p>
    <w:p w:rsidR="00E22986" w:rsidRDefault="00E22986" w:rsidP="00A553F7">
      <w:pPr>
        <w:rPr>
          <w:rFonts w:eastAsiaTheme="minorEastAsia"/>
          <w:sz w:val="20"/>
          <w:szCs w:val="20"/>
        </w:rPr>
      </w:pPr>
      <w:r>
        <w:rPr>
          <w:rFonts w:eastAsiaTheme="minorEastAsia"/>
          <w:sz w:val="20"/>
          <w:szCs w:val="20"/>
        </w:rPr>
        <w:t xml:space="preserve">Coupon payment in period </w:t>
      </w:r>
      <m:oMath>
        <m:r>
          <w:rPr>
            <w:rFonts w:ascii="Cambria Math" w:eastAsiaTheme="minorEastAsia" w:hAnsi="Cambria Math"/>
            <w:sz w:val="20"/>
            <w:szCs w:val="20"/>
          </w:rPr>
          <m:t>t</m:t>
        </m:r>
      </m:oMath>
      <w:r>
        <w:rPr>
          <w:rFonts w:eastAsiaTheme="minorEastAsia"/>
          <w:sz w:val="20"/>
          <w:szCs w:val="20"/>
        </w:rPr>
        <w:t xml:space="preserve">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I</m:t>
            </m:r>
          </m:e>
          <m:sub>
            <m:r>
              <w:rPr>
                <w:rFonts w:ascii="Cambria Math" w:eastAsiaTheme="minorEastAsia" w:hAnsi="Cambria Math"/>
                <w:sz w:val="20"/>
                <w:szCs w:val="20"/>
              </w:rPr>
              <m:t>t</m:t>
            </m:r>
          </m:sub>
        </m:sSub>
        <m:r>
          <w:rPr>
            <w:rFonts w:ascii="Cambria Math" w:eastAsiaTheme="minorEastAsia" w:hAnsi="Cambria Math"/>
            <w:sz w:val="20"/>
            <w:szCs w:val="20"/>
          </w:rPr>
          <m:t>=i</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t</m:t>
            </m:r>
          </m:sub>
        </m:sSub>
        <m:r>
          <w:rPr>
            <w:rFonts w:ascii="Cambria Math" w:eastAsiaTheme="minorEastAsia" w:hAnsi="Cambria Math"/>
            <w:sz w:val="20"/>
            <w:szCs w:val="20"/>
          </w:rPr>
          <m:t>=i</m:t>
        </m:r>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0</m:t>
                </m:r>
              </m:sub>
            </m:sSub>
            <m:r>
              <w:rPr>
                <w:rFonts w:ascii="Cambria Math" w:eastAsiaTheme="minorEastAsia" w:hAnsi="Cambria Math"/>
                <w:sz w:val="20"/>
                <w:szCs w:val="20"/>
              </w:rPr>
              <m:t>-t</m:t>
            </m:r>
            <m:d>
              <m:dPr>
                <m:ctrlPr>
                  <w:rPr>
                    <w:rFonts w:ascii="Cambria Math" w:eastAsiaTheme="minorEastAsia" w:hAnsi="Cambria Math"/>
                    <w:i/>
                    <w:sz w:val="20"/>
                    <w:szCs w:val="20"/>
                  </w:rPr>
                </m:ctrlPr>
              </m:dPr>
              <m:e>
                <m:r>
                  <w:rPr>
                    <w:rFonts w:ascii="Cambria Math" w:eastAsiaTheme="minorEastAsia" w:hAnsi="Cambria Math"/>
                    <w:sz w:val="20"/>
                    <w:szCs w:val="20"/>
                  </w:rPr>
                  <m:t>L+X</m:t>
                </m:r>
              </m:e>
            </m:d>
          </m:e>
        </m:d>
      </m:oMath>
      <w:r w:rsidR="00B244C6">
        <w:rPr>
          <w:rFonts w:eastAsiaTheme="minorEastAsia"/>
          <w:sz w:val="20"/>
          <w:szCs w:val="20"/>
        </w:rPr>
        <w:t xml:space="preserve">. </w:t>
      </w:r>
      <w:r w:rsidR="00B9642E">
        <w:rPr>
          <w:rFonts w:eastAsiaTheme="minorEastAsia"/>
          <w:sz w:val="20"/>
          <w:szCs w:val="20"/>
        </w:rPr>
        <w:t xml:space="preserve">The NPV of the coupon payments is </w:t>
      </w:r>
    </w:p>
    <w:p w:rsidR="00B9642E" w:rsidRDefault="005836E9" w:rsidP="00A553F7">
      <w:pPr>
        <w:rPr>
          <w:rFonts w:eastAsiaTheme="minorEastAsia"/>
          <w:sz w:val="20"/>
          <w:szCs w:val="20"/>
        </w:rPr>
      </w:pPr>
      <m:oMathPara>
        <m:oMath>
          <m:sSup>
            <m:sSupPr>
              <m:ctrlPr>
                <w:rPr>
                  <w:rFonts w:ascii="Cambria Math" w:eastAsiaTheme="minorEastAsia" w:hAnsi="Cambria Math"/>
                  <w:i/>
                  <w:sz w:val="20"/>
                  <w:szCs w:val="20"/>
                </w:rPr>
              </m:ctrlPr>
            </m:sSupPr>
            <m:e>
              <m:r>
                <w:rPr>
                  <w:rFonts w:ascii="Cambria Math" w:eastAsiaTheme="minorEastAsia" w:hAnsi="Cambria Math"/>
                  <w:sz w:val="20"/>
                  <w:szCs w:val="20"/>
                </w:rPr>
                <m:t>P</m:t>
              </m:r>
            </m:e>
            <m:sup>
              <m:r>
                <w:rPr>
                  <w:rFonts w:ascii="Cambria Math" w:eastAsiaTheme="minorEastAsia" w:hAnsi="Cambria Math"/>
                  <w:sz w:val="20"/>
                  <w:szCs w:val="20"/>
                </w:rPr>
                <m:t>I</m:t>
              </m:r>
            </m:sup>
          </m:sSup>
          <m:r>
            <w:rPr>
              <w:rFonts w:ascii="Cambria Math" w:eastAsiaTheme="minorEastAsia" w:hAnsi="Cambria Math"/>
              <w:sz w:val="20"/>
              <w:szCs w:val="20"/>
            </w:rPr>
            <m:t>=</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iB</m:t>
                  </m:r>
                </m:e>
                <m:sub>
                  <m:r>
                    <w:rPr>
                      <w:rFonts w:ascii="Cambria Math" w:eastAsiaTheme="minorEastAsia" w:hAnsi="Cambria Math"/>
                      <w:sz w:val="20"/>
                      <w:szCs w:val="20"/>
                    </w:rPr>
                    <m:t>0</m:t>
                  </m:r>
                </m:sub>
              </m:sSub>
            </m:num>
            <m:den>
              <m:r>
                <w:rPr>
                  <w:rFonts w:ascii="Cambria Math" w:eastAsiaTheme="minorEastAsia" w:hAnsi="Cambria Math"/>
                  <w:sz w:val="20"/>
                  <w:szCs w:val="20"/>
                </w:rPr>
                <m:t>y</m:t>
              </m:r>
            </m:den>
          </m:f>
          <m:d>
            <m:dPr>
              <m:ctrlPr>
                <w:rPr>
                  <w:rFonts w:ascii="Cambria Math" w:eastAsiaTheme="minorEastAsia" w:hAnsi="Cambria Math"/>
                  <w:i/>
                  <w:sz w:val="20"/>
                  <w:szCs w:val="20"/>
                </w:rPr>
              </m:ctrlPr>
            </m:dPr>
            <m:e>
              <m:r>
                <w:rPr>
                  <w:rFonts w:ascii="Cambria Math" w:eastAsiaTheme="minorEastAsia" w:hAnsi="Cambria Math"/>
                  <w:sz w:val="20"/>
                  <w:szCs w:val="20"/>
                </w:rPr>
                <m:t>1-</m:t>
              </m:r>
              <m:f>
                <m:fPr>
                  <m:ctrlPr>
                    <w:rPr>
                      <w:rFonts w:ascii="Cambria Math" w:eastAsiaTheme="minorEastAsia" w:hAnsi="Cambria Math"/>
                      <w:i/>
                      <w:sz w:val="20"/>
                      <w:szCs w:val="20"/>
                    </w:rPr>
                  </m:ctrlPr>
                </m:fPr>
                <m:num>
                  <m:r>
                    <w:rPr>
                      <w:rFonts w:ascii="Cambria Math" w:eastAsiaTheme="minorEastAsia" w:hAnsi="Cambria Math"/>
                      <w:sz w:val="20"/>
                      <w:szCs w:val="20"/>
                    </w:rPr>
                    <m:t>1</m:t>
                  </m:r>
                </m:num>
                <m:den>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r>
                            <w:rPr>
                              <w:rFonts w:ascii="Cambria Math" w:eastAsiaTheme="minorEastAsia" w:hAnsi="Cambria Math"/>
                              <w:sz w:val="20"/>
                              <w:szCs w:val="20"/>
                            </w:rPr>
                            <m:t>1+y</m:t>
                          </m:r>
                        </m:e>
                      </m:d>
                    </m:e>
                    <m:sup>
                      <m:r>
                        <w:rPr>
                          <w:rFonts w:ascii="Cambria Math" w:eastAsiaTheme="minorEastAsia" w:hAnsi="Cambria Math"/>
                          <w:sz w:val="20"/>
                          <w:szCs w:val="20"/>
                        </w:rPr>
                        <m:t>T</m:t>
                      </m:r>
                    </m:sup>
                  </m:sSup>
                </m:den>
              </m:f>
            </m:e>
          </m:d>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i</m:t>
              </m:r>
              <m:d>
                <m:dPr>
                  <m:ctrlPr>
                    <w:rPr>
                      <w:rFonts w:ascii="Cambria Math" w:eastAsiaTheme="minorEastAsia" w:hAnsi="Cambria Math"/>
                      <w:i/>
                      <w:sz w:val="20"/>
                      <w:szCs w:val="20"/>
                    </w:rPr>
                  </m:ctrlPr>
                </m:dPr>
                <m:e>
                  <m:r>
                    <w:rPr>
                      <w:rFonts w:ascii="Cambria Math" w:eastAsiaTheme="minorEastAsia" w:hAnsi="Cambria Math"/>
                      <w:sz w:val="20"/>
                      <w:szCs w:val="20"/>
                    </w:rPr>
                    <m:t>L+X</m:t>
                  </m:r>
                </m:e>
              </m:d>
            </m:num>
            <m:den>
              <m:r>
                <w:rPr>
                  <w:rFonts w:ascii="Cambria Math" w:eastAsiaTheme="minorEastAsia" w:hAnsi="Cambria Math"/>
                  <w:sz w:val="20"/>
                  <w:szCs w:val="20"/>
                </w:rPr>
                <m:t>y</m:t>
              </m:r>
            </m:den>
          </m:f>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w:rPr>
                      <w:rFonts w:ascii="Cambria Math" w:eastAsiaTheme="minorEastAsia" w:hAnsi="Cambria Math"/>
                      <w:sz w:val="20"/>
                      <w:szCs w:val="20"/>
                    </w:rPr>
                    <m:t>1+y</m:t>
                  </m:r>
                </m:num>
                <m:den>
                  <m:r>
                    <w:rPr>
                      <w:rFonts w:ascii="Cambria Math" w:eastAsiaTheme="minorEastAsia" w:hAnsi="Cambria Math"/>
                      <w:sz w:val="20"/>
                      <w:szCs w:val="20"/>
                    </w:rPr>
                    <m:t>y</m:t>
                  </m:r>
                </m:den>
              </m:f>
              <m:d>
                <m:dPr>
                  <m:ctrlPr>
                    <w:rPr>
                      <w:rFonts w:ascii="Cambria Math" w:hAnsi="Cambria Math"/>
                      <w:i/>
                      <w:sz w:val="18"/>
                      <w:szCs w:val="18"/>
                    </w:rPr>
                  </m:ctrlPr>
                </m:dPr>
                <m:e>
                  <m:r>
                    <w:rPr>
                      <w:rFonts w:ascii="Cambria Math" w:hAnsi="Cambria Math"/>
                      <w:sz w:val="18"/>
                      <w:szCs w:val="18"/>
                    </w:rPr>
                    <m:t>1-</m:t>
                  </m:r>
                  <m:sSup>
                    <m:sSupPr>
                      <m:ctrlPr>
                        <w:rPr>
                          <w:rFonts w:ascii="Cambria Math" w:hAnsi="Cambria Math"/>
                          <w:i/>
                          <w:sz w:val="18"/>
                          <w:szCs w:val="18"/>
                        </w:rPr>
                      </m:ctrlPr>
                    </m:sSupPr>
                    <m:e>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1+y</m:t>
                              </m:r>
                            </m:den>
                          </m:f>
                        </m:e>
                      </m:d>
                    </m:e>
                    <m:sup>
                      <m:r>
                        <w:rPr>
                          <w:rFonts w:ascii="Cambria Math" w:hAnsi="Cambria Math"/>
                          <w:sz w:val="18"/>
                          <w:szCs w:val="18"/>
                        </w:rPr>
                        <m:t>T</m:t>
                      </m:r>
                    </m:sup>
                  </m:sSup>
                </m:e>
              </m:d>
              <m:r>
                <w:rPr>
                  <w:rFonts w:ascii="Cambria Math" w:hAnsi="Cambria Math"/>
                  <w:sz w:val="18"/>
                  <w:szCs w:val="18"/>
                </w:rPr>
                <m:t>-T</m:t>
              </m:r>
              <m:sSup>
                <m:sSupPr>
                  <m:ctrlPr>
                    <w:rPr>
                      <w:rFonts w:ascii="Cambria Math" w:hAnsi="Cambria Math"/>
                      <w:i/>
                      <w:sz w:val="18"/>
                      <w:szCs w:val="18"/>
                    </w:rPr>
                  </m:ctrlPr>
                </m:sSupPr>
                <m:e>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1+y</m:t>
                          </m:r>
                        </m:den>
                      </m:f>
                    </m:e>
                  </m:d>
                </m:e>
                <m:sup>
                  <m:r>
                    <w:rPr>
                      <w:rFonts w:ascii="Cambria Math" w:hAnsi="Cambria Math"/>
                      <w:sz w:val="18"/>
                      <w:szCs w:val="18"/>
                    </w:rPr>
                    <m:t>T</m:t>
                  </m:r>
                </m:sup>
              </m:sSup>
            </m:e>
          </m:d>
        </m:oMath>
      </m:oMathPara>
    </w:p>
    <w:p w:rsidR="00983940" w:rsidRDefault="00B9642E" w:rsidP="00A553F7">
      <w:pPr>
        <w:rPr>
          <w:rFonts w:eastAsiaTheme="minorEastAsia"/>
          <w:sz w:val="20"/>
          <w:szCs w:val="20"/>
        </w:rPr>
      </w:pPr>
      <w:r>
        <w:rPr>
          <w:rFonts w:eastAsiaTheme="minorEastAsia"/>
          <w:sz w:val="20"/>
          <w:szCs w:val="20"/>
        </w:rPr>
        <w:t xml:space="preserve">The price of the amortized loan is estimated as </w:t>
      </w:r>
    </w:p>
    <w:p w:rsidR="00B9642E" w:rsidRPr="00524C62" w:rsidRDefault="00B9642E" w:rsidP="00A553F7">
      <w:pPr>
        <w:rPr>
          <w:rFonts w:eastAsiaTheme="minorEastAsia"/>
          <w:sz w:val="20"/>
          <w:szCs w:val="20"/>
        </w:rPr>
      </w:pPr>
      <m:oMathPara>
        <m:oMath>
          <m:r>
            <w:rPr>
              <w:rFonts w:ascii="Cambria Math" w:eastAsiaTheme="minorEastAsia" w:hAnsi="Cambria Math"/>
              <w:sz w:val="20"/>
              <w:szCs w:val="20"/>
            </w:rPr>
            <m:t>P=</m:t>
          </m:r>
          <m:f>
            <m:fPr>
              <m:ctrlPr>
                <w:rPr>
                  <w:rFonts w:ascii="Cambria Math" w:eastAsiaTheme="minorEastAsia" w:hAnsi="Cambria Math"/>
                  <w:i/>
                  <w:sz w:val="20"/>
                  <w:szCs w:val="20"/>
                </w:rPr>
              </m:ctrlPr>
            </m:fPr>
            <m:num>
              <m:r>
                <w:rPr>
                  <w:rFonts w:ascii="Cambria Math" w:eastAsiaTheme="minorEastAsia" w:hAnsi="Cambria Math"/>
                  <w:sz w:val="20"/>
                  <w:szCs w:val="20"/>
                </w:rPr>
                <m:t>X+</m:t>
              </m:r>
              <m:sSub>
                <m:sSubPr>
                  <m:ctrlPr>
                    <w:rPr>
                      <w:rFonts w:ascii="Cambria Math" w:eastAsiaTheme="minorEastAsia" w:hAnsi="Cambria Math"/>
                      <w:i/>
                      <w:sz w:val="20"/>
                      <w:szCs w:val="20"/>
                    </w:rPr>
                  </m:ctrlPr>
                </m:sSubPr>
                <m:e>
                  <m:r>
                    <w:rPr>
                      <w:rFonts w:ascii="Cambria Math" w:eastAsiaTheme="minorEastAsia" w:hAnsi="Cambria Math"/>
                      <w:sz w:val="20"/>
                      <w:szCs w:val="20"/>
                    </w:rPr>
                    <m:t>iB</m:t>
                  </m:r>
                </m:e>
                <m:sub>
                  <m:r>
                    <w:rPr>
                      <w:rFonts w:ascii="Cambria Math" w:eastAsiaTheme="minorEastAsia" w:hAnsi="Cambria Math"/>
                      <w:sz w:val="20"/>
                      <w:szCs w:val="20"/>
                    </w:rPr>
                    <m:t>0</m:t>
                  </m:r>
                </m:sub>
              </m:sSub>
            </m:num>
            <m:den>
              <m:r>
                <w:rPr>
                  <w:rFonts w:ascii="Cambria Math" w:eastAsiaTheme="minorEastAsia" w:hAnsi="Cambria Math"/>
                  <w:sz w:val="20"/>
                  <w:szCs w:val="20"/>
                </w:rPr>
                <m:t>y</m:t>
              </m:r>
            </m:den>
          </m:f>
          <m:d>
            <m:dPr>
              <m:ctrlPr>
                <w:rPr>
                  <w:rFonts w:ascii="Cambria Math" w:eastAsiaTheme="minorEastAsia" w:hAnsi="Cambria Math"/>
                  <w:i/>
                  <w:sz w:val="20"/>
                  <w:szCs w:val="20"/>
                </w:rPr>
              </m:ctrlPr>
            </m:dPr>
            <m:e>
              <m:r>
                <w:rPr>
                  <w:rFonts w:ascii="Cambria Math" w:eastAsiaTheme="minorEastAsia" w:hAnsi="Cambria Math"/>
                  <w:sz w:val="20"/>
                  <w:szCs w:val="20"/>
                </w:rPr>
                <m:t>1-</m:t>
              </m:r>
              <m:f>
                <m:fPr>
                  <m:ctrlPr>
                    <w:rPr>
                      <w:rFonts w:ascii="Cambria Math" w:eastAsiaTheme="minorEastAsia" w:hAnsi="Cambria Math"/>
                      <w:i/>
                      <w:sz w:val="20"/>
                      <w:szCs w:val="20"/>
                    </w:rPr>
                  </m:ctrlPr>
                </m:fPr>
                <m:num>
                  <m:r>
                    <w:rPr>
                      <w:rFonts w:ascii="Cambria Math" w:eastAsiaTheme="minorEastAsia" w:hAnsi="Cambria Math"/>
                      <w:sz w:val="20"/>
                      <w:szCs w:val="20"/>
                    </w:rPr>
                    <m:t>1</m:t>
                  </m:r>
                </m:num>
                <m:den>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r>
                            <w:rPr>
                              <w:rFonts w:ascii="Cambria Math" w:eastAsiaTheme="minorEastAsia" w:hAnsi="Cambria Math"/>
                              <w:sz w:val="20"/>
                              <w:szCs w:val="20"/>
                            </w:rPr>
                            <m:t>1+y</m:t>
                          </m:r>
                        </m:e>
                      </m:d>
                    </m:e>
                    <m:sup>
                      <m:r>
                        <w:rPr>
                          <w:rFonts w:ascii="Cambria Math" w:eastAsiaTheme="minorEastAsia" w:hAnsi="Cambria Math"/>
                          <w:sz w:val="20"/>
                          <w:szCs w:val="20"/>
                        </w:rPr>
                        <m:t>T</m:t>
                      </m:r>
                    </m:sup>
                  </m:sSup>
                </m:den>
              </m:f>
            </m:e>
          </m:d>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i</m:t>
              </m:r>
              <m:d>
                <m:dPr>
                  <m:ctrlPr>
                    <w:rPr>
                      <w:rFonts w:ascii="Cambria Math" w:eastAsiaTheme="minorEastAsia" w:hAnsi="Cambria Math"/>
                      <w:i/>
                      <w:sz w:val="20"/>
                      <w:szCs w:val="20"/>
                    </w:rPr>
                  </m:ctrlPr>
                </m:dPr>
                <m:e>
                  <m:r>
                    <w:rPr>
                      <w:rFonts w:ascii="Cambria Math" w:eastAsiaTheme="minorEastAsia" w:hAnsi="Cambria Math"/>
                      <w:sz w:val="20"/>
                      <w:szCs w:val="20"/>
                    </w:rPr>
                    <m:t>L+X</m:t>
                  </m:r>
                </m:e>
              </m:d>
            </m:num>
            <m:den>
              <m:r>
                <w:rPr>
                  <w:rFonts w:ascii="Cambria Math" w:eastAsiaTheme="minorEastAsia" w:hAnsi="Cambria Math"/>
                  <w:sz w:val="20"/>
                  <w:szCs w:val="20"/>
                </w:rPr>
                <m:t>y</m:t>
              </m:r>
            </m:den>
          </m:f>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w:rPr>
                      <w:rFonts w:ascii="Cambria Math" w:eastAsiaTheme="minorEastAsia" w:hAnsi="Cambria Math"/>
                      <w:sz w:val="20"/>
                      <w:szCs w:val="20"/>
                    </w:rPr>
                    <m:t>1+y</m:t>
                  </m:r>
                </m:num>
                <m:den>
                  <m:r>
                    <w:rPr>
                      <w:rFonts w:ascii="Cambria Math" w:eastAsiaTheme="minorEastAsia" w:hAnsi="Cambria Math"/>
                      <w:sz w:val="20"/>
                      <w:szCs w:val="20"/>
                    </w:rPr>
                    <m:t>y</m:t>
                  </m:r>
                </m:den>
              </m:f>
              <m:d>
                <m:dPr>
                  <m:ctrlPr>
                    <w:rPr>
                      <w:rFonts w:ascii="Cambria Math" w:hAnsi="Cambria Math"/>
                      <w:i/>
                      <w:sz w:val="18"/>
                      <w:szCs w:val="18"/>
                    </w:rPr>
                  </m:ctrlPr>
                </m:dPr>
                <m:e>
                  <m:r>
                    <w:rPr>
                      <w:rFonts w:ascii="Cambria Math" w:hAnsi="Cambria Math"/>
                      <w:sz w:val="18"/>
                      <w:szCs w:val="18"/>
                    </w:rPr>
                    <m:t>1-</m:t>
                  </m:r>
                  <m:sSup>
                    <m:sSupPr>
                      <m:ctrlPr>
                        <w:rPr>
                          <w:rFonts w:ascii="Cambria Math" w:hAnsi="Cambria Math"/>
                          <w:i/>
                          <w:sz w:val="18"/>
                          <w:szCs w:val="18"/>
                        </w:rPr>
                      </m:ctrlPr>
                    </m:sSupPr>
                    <m:e>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1+y</m:t>
                              </m:r>
                            </m:den>
                          </m:f>
                        </m:e>
                      </m:d>
                    </m:e>
                    <m:sup>
                      <m:r>
                        <w:rPr>
                          <w:rFonts w:ascii="Cambria Math" w:hAnsi="Cambria Math"/>
                          <w:sz w:val="18"/>
                          <w:szCs w:val="18"/>
                        </w:rPr>
                        <m:t>T</m:t>
                      </m:r>
                    </m:sup>
                  </m:sSup>
                </m:e>
              </m:d>
              <m:r>
                <w:rPr>
                  <w:rFonts w:ascii="Cambria Math" w:hAnsi="Cambria Math"/>
                  <w:sz w:val="18"/>
                  <w:szCs w:val="18"/>
                </w:rPr>
                <m:t>-T</m:t>
              </m:r>
              <m:sSup>
                <m:sSupPr>
                  <m:ctrlPr>
                    <w:rPr>
                      <w:rFonts w:ascii="Cambria Math" w:hAnsi="Cambria Math"/>
                      <w:i/>
                      <w:sz w:val="18"/>
                      <w:szCs w:val="18"/>
                    </w:rPr>
                  </m:ctrlPr>
                </m:sSupPr>
                <m:e>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1+y</m:t>
                          </m:r>
                        </m:den>
                      </m:f>
                    </m:e>
                  </m:d>
                </m:e>
                <m:sup>
                  <m:r>
                    <w:rPr>
                      <w:rFonts w:ascii="Cambria Math" w:hAnsi="Cambria Math"/>
                      <w:sz w:val="18"/>
                      <w:szCs w:val="18"/>
                    </w:rPr>
                    <m:t>T</m:t>
                  </m:r>
                </m:sup>
              </m:sSup>
            </m:e>
          </m:d>
        </m:oMath>
      </m:oMathPara>
    </w:p>
    <w:p w:rsidR="006C7E2F" w:rsidRDefault="00F92C44" w:rsidP="00C14274">
      <w:pPr>
        <w:rPr>
          <w:rFonts w:eastAsiaTheme="minorEastAsia"/>
        </w:rPr>
      </w:pPr>
      <w:r>
        <w:rPr>
          <w:rFonts w:eastAsiaTheme="minorEastAsia"/>
        </w:rPr>
        <w:t>Together with the equation</w:t>
      </w:r>
    </w:p>
    <w:p w:rsidR="00F92C44" w:rsidRPr="00F92C44" w:rsidRDefault="00F92C44" w:rsidP="00C14274">
      <w:pPr>
        <w:rPr>
          <w:rFonts w:eastAsiaTheme="minorEastAsia"/>
          <w:sz w:val="20"/>
          <w:szCs w:val="20"/>
        </w:rPr>
      </w:pPr>
      <m:oMathPara>
        <m:oMath>
          <m:r>
            <w:rPr>
              <w:rFonts w:ascii="Cambria Math" w:eastAsiaTheme="minorEastAsia" w:hAnsi="Cambria Math"/>
              <w:sz w:val="20"/>
              <w:szCs w:val="20"/>
            </w:rPr>
            <m:t>T=</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0</m:t>
                  </m:r>
                </m:sub>
              </m:sSub>
            </m:num>
            <m:den>
              <m:r>
                <w:rPr>
                  <w:rFonts w:ascii="Cambria Math" w:eastAsiaTheme="minorEastAsia" w:hAnsi="Cambria Math"/>
                  <w:sz w:val="20"/>
                  <w:szCs w:val="20"/>
                </w:rPr>
                <m:t>L+X</m:t>
              </m:r>
            </m:den>
          </m:f>
        </m:oMath>
      </m:oMathPara>
    </w:p>
    <w:p w:rsidR="00F92C44" w:rsidRDefault="00F92C44" w:rsidP="00C14274">
      <w:pPr>
        <w:rPr>
          <w:rFonts w:eastAsiaTheme="minorEastAsia"/>
          <w:sz w:val="20"/>
          <w:szCs w:val="20"/>
        </w:rPr>
      </w:pPr>
      <w:r>
        <w:rPr>
          <w:rFonts w:eastAsiaTheme="minorEastAsia"/>
          <w:sz w:val="20"/>
          <w:szCs w:val="20"/>
        </w:rPr>
        <w:t xml:space="preserve">we can estimate the values of </w:t>
      </w:r>
      <m:oMath>
        <m:r>
          <w:rPr>
            <w:rFonts w:ascii="Cambria Math" w:eastAsiaTheme="minorEastAsia" w:hAnsi="Cambria Math"/>
            <w:sz w:val="20"/>
            <w:szCs w:val="20"/>
          </w:rPr>
          <m:t>X</m:t>
        </m:r>
      </m:oMath>
      <w:r>
        <w:rPr>
          <w:rFonts w:eastAsiaTheme="minorEastAsia"/>
          <w:sz w:val="20"/>
          <w:szCs w:val="20"/>
        </w:rPr>
        <w:t xml:space="preserve"> and </w:t>
      </w:r>
      <m:oMath>
        <m:r>
          <w:rPr>
            <w:rFonts w:ascii="Cambria Math" w:eastAsiaTheme="minorEastAsia" w:hAnsi="Cambria Math"/>
            <w:sz w:val="20"/>
            <w:szCs w:val="20"/>
          </w:rPr>
          <m:t>L</m:t>
        </m:r>
      </m:oMath>
      <w:r>
        <w:rPr>
          <w:rFonts w:eastAsiaTheme="minorEastAsia"/>
          <w:sz w:val="20"/>
          <w:szCs w:val="20"/>
        </w:rPr>
        <w:t xml:space="preserve"> and derive the expected losses in the </w:t>
      </w:r>
      <m:oMath>
        <m:r>
          <w:rPr>
            <w:rFonts w:ascii="Cambria Math" w:eastAsiaTheme="minorEastAsia" w:hAnsi="Cambria Math"/>
            <w:sz w:val="20"/>
            <w:szCs w:val="20"/>
          </w:rPr>
          <m:t>A</m:t>
        </m:r>
      </m:oMath>
      <w:r w:rsidR="00AA11AE">
        <w:rPr>
          <w:rFonts w:eastAsiaTheme="minorEastAsia"/>
          <w:sz w:val="20"/>
          <w:szCs w:val="20"/>
        </w:rPr>
        <w:t xml:space="preserve"> </w:t>
      </w:r>
      <w:r>
        <w:rPr>
          <w:rFonts w:eastAsiaTheme="minorEastAsia"/>
          <w:sz w:val="20"/>
          <w:szCs w:val="20"/>
        </w:rPr>
        <w:t>tranche</w:t>
      </w:r>
      <w:r w:rsidR="00AA11AE">
        <w:rPr>
          <w:rFonts w:eastAsiaTheme="minorEastAsia"/>
          <w:sz w:val="20"/>
          <w:szCs w:val="20"/>
        </w:rPr>
        <w:t xml:space="preserve"> and, after making certain assumptions on the standard deviation of the losses, we can derive the price of the sub-tranches of the </w:t>
      </w:r>
      <m:oMath>
        <m:r>
          <w:rPr>
            <w:rFonts w:ascii="Cambria Math" w:eastAsiaTheme="minorEastAsia" w:hAnsi="Cambria Math"/>
            <w:sz w:val="20"/>
            <w:szCs w:val="20"/>
          </w:rPr>
          <m:t>A</m:t>
        </m:r>
      </m:oMath>
      <w:r w:rsidR="00AA11AE">
        <w:rPr>
          <w:rFonts w:eastAsiaTheme="minorEastAsia"/>
          <w:sz w:val="20"/>
          <w:szCs w:val="20"/>
        </w:rPr>
        <w:t xml:space="preserve"> tranche</w:t>
      </w:r>
      <w:r>
        <w:rPr>
          <w:rFonts w:eastAsiaTheme="minorEastAsia"/>
          <w:sz w:val="20"/>
          <w:szCs w:val="20"/>
        </w:rPr>
        <w:t>.</w:t>
      </w:r>
      <w:r w:rsidR="00921EE7">
        <w:rPr>
          <w:rFonts w:eastAsiaTheme="minorEastAsia"/>
          <w:sz w:val="20"/>
          <w:szCs w:val="20"/>
        </w:rPr>
        <w:t xml:space="preserve"> Substituting out the </w:t>
      </w:r>
      <m:oMath>
        <m:r>
          <w:rPr>
            <w:rFonts w:ascii="Cambria Math" w:eastAsiaTheme="minorEastAsia" w:hAnsi="Cambria Math"/>
            <w:sz w:val="20"/>
            <w:szCs w:val="20"/>
          </w:rPr>
          <m:t>L+X</m:t>
        </m:r>
      </m:oMath>
      <w:r w:rsidR="00921EE7">
        <w:rPr>
          <w:rFonts w:eastAsiaTheme="minorEastAsia"/>
          <w:sz w:val="20"/>
          <w:szCs w:val="20"/>
        </w:rPr>
        <w:t xml:space="preserve"> in the second equation, we obtain the following equation for the amortized amount </w:t>
      </w:r>
      <m:oMath>
        <m:r>
          <w:rPr>
            <w:rFonts w:ascii="Cambria Math" w:eastAsiaTheme="minorEastAsia" w:hAnsi="Cambria Math"/>
            <w:sz w:val="20"/>
            <w:szCs w:val="20"/>
          </w:rPr>
          <m:t>X</m:t>
        </m:r>
      </m:oMath>
      <w:r w:rsidR="00921EE7">
        <w:rPr>
          <w:rFonts w:eastAsiaTheme="minorEastAsia"/>
          <w:sz w:val="20"/>
          <w:szCs w:val="20"/>
        </w:rPr>
        <w:t>:</w:t>
      </w:r>
    </w:p>
    <w:p w:rsidR="00921EE7" w:rsidRDefault="00921EE7" w:rsidP="00C14274">
      <w:pPr>
        <w:rPr>
          <w:rFonts w:eastAsiaTheme="minorEastAsia"/>
        </w:rPr>
      </w:pPr>
      <m:oMathPara>
        <m:oMath>
          <m:r>
            <w:rPr>
              <w:rFonts w:ascii="Cambria Math" w:eastAsiaTheme="minorEastAsia" w:hAnsi="Cambria Math"/>
              <w:sz w:val="20"/>
              <w:szCs w:val="20"/>
            </w:rPr>
            <m:t>P=</m:t>
          </m:r>
          <m:f>
            <m:fPr>
              <m:ctrlPr>
                <w:rPr>
                  <w:rFonts w:ascii="Cambria Math" w:eastAsiaTheme="minorEastAsia" w:hAnsi="Cambria Math"/>
                  <w:i/>
                  <w:sz w:val="20"/>
                  <w:szCs w:val="20"/>
                </w:rPr>
              </m:ctrlPr>
            </m:fPr>
            <m:num>
              <m:r>
                <w:rPr>
                  <w:rFonts w:ascii="Cambria Math" w:eastAsiaTheme="minorEastAsia" w:hAnsi="Cambria Math"/>
                  <w:sz w:val="20"/>
                  <w:szCs w:val="20"/>
                </w:rPr>
                <m:t>X+</m:t>
              </m:r>
              <m:sSub>
                <m:sSubPr>
                  <m:ctrlPr>
                    <w:rPr>
                      <w:rFonts w:ascii="Cambria Math" w:eastAsiaTheme="minorEastAsia" w:hAnsi="Cambria Math"/>
                      <w:i/>
                      <w:sz w:val="20"/>
                      <w:szCs w:val="20"/>
                    </w:rPr>
                  </m:ctrlPr>
                </m:sSubPr>
                <m:e>
                  <m:r>
                    <w:rPr>
                      <w:rFonts w:ascii="Cambria Math" w:eastAsiaTheme="minorEastAsia" w:hAnsi="Cambria Math"/>
                      <w:sz w:val="20"/>
                      <w:szCs w:val="20"/>
                    </w:rPr>
                    <m:t>iB</m:t>
                  </m:r>
                </m:e>
                <m:sub>
                  <m:r>
                    <w:rPr>
                      <w:rFonts w:ascii="Cambria Math" w:eastAsiaTheme="minorEastAsia" w:hAnsi="Cambria Math"/>
                      <w:sz w:val="20"/>
                      <w:szCs w:val="20"/>
                    </w:rPr>
                    <m:t>0</m:t>
                  </m:r>
                </m:sub>
              </m:sSub>
            </m:num>
            <m:den>
              <m:r>
                <w:rPr>
                  <w:rFonts w:ascii="Cambria Math" w:eastAsiaTheme="minorEastAsia" w:hAnsi="Cambria Math"/>
                  <w:sz w:val="20"/>
                  <w:szCs w:val="20"/>
                </w:rPr>
                <m:t>y</m:t>
              </m:r>
            </m:den>
          </m:f>
          <m:d>
            <m:dPr>
              <m:ctrlPr>
                <w:rPr>
                  <w:rFonts w:ascii="Cambria Math" w:eastAsiaTheme="minorEastAsia" w:hAnsi="Cambria Math"/>
                  <w:i/>
                  <w:sz w:val="20"/>
                  <w:szCs w:val="20"/>
                </w:rPr>
              </m:ctrlPr>
            </m:dPr>
            <m:e>
              <m:r>
                <w:rPr>
                  <w:rFonts w:ascii="Cambria Math" w:eastAsiaTheme="minorEastAsia" w:hAnsi="Cambria Math"/>
                  <w:sz w:val="20"/>
                  <w:szCs w:val="20"/>
                </w:rPr>
                <m:t>1-</m:t>
              </m:r>
              <m:f>
                <m:fPr>
                  <m:ctrlPr>
                    <w:rPr>
                      <w:rFonts w:ascii="Cambria Math" w:eastAsiaTheme="minorEastAsia" w:hAnsi="Cambria Math"/>
                      <w:i/>
                      <w:sz w:val="20"/>
                      <w:szCs w:val="20"/>
                    </w:rPr>
                  </m:ctrlPr>
                </m:fPr>
                <m:num>
                  <m:r>
                    <w:rPr>
                      <w:rFonts w:ascii="Cambria Math" w:eastAsiaTheme="minorEastAsia" w:hAnsi="Cambria Math"/>
                      <w:sz w:val="20"/>
                      <w:szCs w:val="20"/>
                    </w:rPr>
                    <m:t>1</m:t>
                  </m:r>
                </m:num>
                <m:den>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r>
                            <w:rPr>
                              <w:rFonts w:ascii="Cambria Math" w:eastAsiaTheme="minorEastAsia" w:hAnsi="Cambria Math"/>
                              <w:sz w:val="20"/>
                              <w:szCs w:val="20"/>
                            </w:rPr>
                            <m:t>1+y</m:t>
                          </m:r>
                        </m:e>
                      </m:d>
                    </m:e>
                    <m:sup>
                      <m:r>
                        <w:rPr>
                          <w:rFonts w:ascii="Cambria Math" w:eastAsiaTheme="minorEastAsia" w:hAnsi="Cambria Math"/>
                          <w:sz w:val="20"/>
                          <w:szCs w:val="20"/>
                        </w:rPr>
                        <m:t>T</m:t>
                      </m:r>
                    </m:sup>
                  </m:sSup>
                </m:den>
              </m:f>
            </m:e>
          </m:d>
          <m:r>
            <w:rPr>
              <w:rFonts w:ascii="Cambria Math" w:eastAsiaTheme="minorEastAsia" w:hAnsi="Cambria Math"/>
              <w:sz w:val="20"/>
              <w:szCs w:val="20"/>
            </w:rPr>
            <m:t>-</m:t>
          </m:r>
          <m:f>
            <m:fPr>
              <m:ctrlPr>
                <w:rPr>
                  <w:rFonts w:ascii="Cambria Math" w:eastAsiaTheme="minorEastAsia" w:hAnsi="Cambria Math"/>
                  <w:i/>
                  <w:sz w:val="20"/>
                  <w:szCs w:val="20"/>
                </w:rPr>
              </m:ctrlPr>
            </m:fPr>
            <m:num>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iB</m:t>
                      </m:r>
                    </m:e>
                    <m:sub>
                      <m:r>
                        <w:rPr>
                          <w:rFonts w:ascii="Cambria Math" w:eastAsiaTheme="minorEastAsia" w:hAnsi="Cambria Math"/>
                          <w:sz w:val="20"/>
                          <w:szCs w:val="20"/>
                        </w:rPr>
                        <m:t>0</m:t>
                      </m:r>
                    </m:sub>
                  </m:sSub>
                </m:num>
                <m:den>
                  <m:r>
                    <w:rPr>
                      <w:rFonts w:ascii="Cambria Math" w:eastAsiaTheme="minorEastAsia" w:hAnsi="Cambria Math"/>
                      <w:sz w:val="20"/>
                      <w:szCs w:val="20"/>
                    </w:rPr>
                    <m:t>T</m:t>
                  </m:r>
                </m:den>
              </m:f>
            </m:num>
            <m:den>
              <m:r>
                <w:rPr>
                  <w:rFonts w:ascii="Cambria Math" w:eastAsiaTheme="minorEastAsia" w:hAnsi="Cambria Math"/>
                  <w:sz w:val="20"/>
                  <w:szCs w:val="20"/>
                </w:rPr>
                <m:t>y</m:t>
              </m:r>
            </m:den>
          </m:f>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w:rPr>
                      <w:rFonts w:ascii="Cambria Math" w:eastAsiaTheme="minorEastAsia" w:hAnsi="Cambria Math"/>
                      <w:sz w:val="20"/>
                      <w:szCs w:val="20"/>
                    </w:rPr>
                    <m:t>1+y</m:t>
                  </m:r>
                </m:num>
                <m:den>
                  <m:r>
                    <w:rPr>
                      <w:rFonts w:ascii="Cambria Math" w:eastAsiaTheme="minorEastAsia" w:hAnsi="Cambria Math"/>
                      <w:sz w:val="20"/>
                      <w:szCs w:val="20"/>
                    </w:rPr>
                    <m:t>y</m:t>
                  </m:r>
                </m:den>
              </m:f>
              <m:d>
                <m:dPr>
                  <m:ctrlPr>
                    <w:rPr>
                      <w:rFonts w:ascii="Cambria Math" w:hAnsi="Cambria Math"/>
                      <w:i/>
                      <w:sz w:val="18"/>
                      <w:szCs w:val="18"/>
                    </w:rPr>
                  </m:ctrlPr>
                </m:dPr>
                <m:e>
                  <m:r>
                    <w:rPr>
                      <w:rFonts w:ascii="Cambria Math" w:hAnsi="Cambria Math"/>
                      <w:sz w:val="18"/>
                      <w:szCs w:val="18"/>
                    </w:rPr>
                    <m:t>1-</m:t>
                  </m:r>
                  <m:sSup>
                    <m:sSupPr>
                      <m:ctrlPr>
                        <w:rPr>
                          <w:rFonts w:ascii="Cambria Math" w:hAnsi="Cambria Math"/>
                          <w:i/>
                          <w:sz w:val="18"/>
                          <w:szCs w:val="18"/>
                        </w:rPr>
                      </m:ctrlPr>
                    </m:sSupPr>
                    <m:e>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1+y</m:t>
                              </m:r>
                            </m:den>
                          </m:f>
                        </m:e>
                      </m:d>
                    </m:e>
                    <m:sup>
                      <m:r>
                        <w:rPr>
                          <w:rFonts w:ascii="Cambria Math" w:hAnsi="Cambria Math"/>
                          <w:sz w:val="18"/>
                          <w:szCs w:val="18"/>
                        </w:rPr>
                        <m:t>T</m:t>
                      </m:r>
                    </m:sup>
                  </m:sSup>
                </m:e>
              </m:d>
              <m:r>
                <w:rPr>
                  <w:rFonts w:ascii="Cambria Math" w:hAnsi="Cambria Math"/>
                  <w:sz w:val="18"/>
                  <w:szCs w:val="18"/>
                </w:rPr>
                <m:t>-T</m:t>
              </m:r>
              <m:sSup>
                <m:sSupPr>
                  <m:ctrlPr>
                    <w:rPr>
                      <w:rFonts w:ascii="Cambria Math" w:hAnsi="Cambria Math"/>
                      <w:i/>
                      <w:sz w:val="18"/>
                      <w:szCs w:val="18"/>
                    </w:rPr>
                  </m:ctrlPr>
                </m:sSupPr>
                <m:e>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1+y</m:t>
                          </m:r>
                        </m:den>
                      </m:f>
                    </m:e>
                  </m:d>
                </m:e>
                <m:sup>
                  <m:r>
                    <w:rPr>
                      <w:rFonts w:ascii="Cambria Math" w:hAnsi="Cambria Math"/>
                      <w:sz w:val="18"/>
                      <w:szCs w:val="18"/>
                    </w:rPr>
                    <m:t>T</m:t>
                  </m:r>
                </m:sup>
              </m:sSup>
            </m:e>
          </m:d>
        </m:oMath>
      </m:oMathPara>
    </w:p>
    <w:p w:rsidR="006C7E2F" w:rsidRDefault="00921EE7" w:rsidP="00C14274">
      <w:r>
        <w:t>or</w:t>
      </w:r>
    </w:p>
    <w:p w:rsidR="00921EE7" w:rsidRPr="00921EE7" w:rsidRDefault="00921EE7" w:rsidP="00C14274">
      <w:pPr>
        <w:rPr>
          <w:rFonts w:eastAsiaTheme="minorEastAsia"/>
          <w:sz w:val="20"/>
          <w:szCs w:val="20"/>
        </w:rPr>
      </w:pPr>
      <m:oMathPara>
        <m:oMath>
          <m:r>
            <w:rPr>
              <w:rFonts w:ascii="Cambria Math" w:hAnsi="Cambria Math"/>
            </w:rPr>
            <m:t>X=Py+</m:t>
          </m:r>
          <m:f>
            <m:fPr>
              <m:ctrlPr>
                <w:rPr>
                  <w:rFonts w:ascii="Cambria Math" w:eastAsiaTheme="minorEastAsia" w:hAnsi="Cambria Math"/>
                  <w:i/>
                  <w:sz w:val="20"/>
                  <w:szCs w:val="20"/>
                </w:rPr>
              </m:ctrlPr>
            </m:fPr>
            <m:num>
              <m:r>
                <w:rPr>
                  <w:rFonts w:ascii="Cambria Math" w:eastAsiaTheme="minorEastAsia" w:hAnsi="Cambria Math"/>
                  <w:sz w:val="20"/>
                  <w:szCs w:val="20"/>
                </w:rPr>
                <m:t>i</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0</m:t>
                  </m:r>
                </m:sub>
              </m:sSub>
            </m:num>
            <m:den>
              <m:r>
                <w:rPr>
                  <w:rFonts w:ascii="Cambria Math" w:eastAsiaTheme="minorEastAsia" w:hAnsi="Cambria Math"/>
                  <w:sz w:val="20"/>
                  <w:szCs w:val="20"/>
                </w:rPr>
                <m:t>T</m:t>
              </m:r>
            </m:den>
          </m:f>
          <m:r>
            <w:rPr>
              <w:rFonts w:ascii="Cambria Math" w:eastAsiaTheme="minorEastAsia" w:hAnsi="Cambria Math"/>
              <w:sz w:val="20"/>
              <w:szCs w:val="20"/>
            </w:rPr>
            <m:t>×</m:t>
          </m:r>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w:rPr>
                      <w:rFonts w:ascii="Cambria Math" w:eastAsiaTheme="minorEastAsia" w:hAnsi="Cambria Math"/>
                      <w:sz w:val="20"/>
                      <w:szCs w:val="20"/>
                    </w:rPr>
                    <m:t>1+y</m:t>
                  </m:r>
                </m:num>
                <m:den>
                  <m:r>
                    <w:rPr>
                      <w:rFonts w:ascii="Cambria Math" w:eastAsiaTheme="minorEastAsia" w:hAnsi="Cambria Math"/>
                      <w:sz w:val="20"/>
                      <w:szCs w:val="20"/>
                    </w:rPr>
                    <m:t>y</m:t>
                  </m:r>
                </m:den>
              </m:f>
              <m:d>
                <m:dPr>
                  <m:ctrlPr>
                    <w:rPr>
                      <w:rFonts w:ascii="Cambria Math" w:hAnsi="Cambria Math"/>
                      <w:i/>
                      <w:sz w:val="18"/>
                      <w:szCs w:val="18"/>
                    </w:rPr>
                  </m:ctrlPr>
                </m:dPr>
                <m:e>
                  <m:r>
                    <w:rPr>
                      <w:rFonts w:ascii="Cambria Math" w:hAnsi="Cambria Math"/>
                      <w:sz w:val="18"/>
                      <w:szCs w:val="18"/>
                    </w:rPr>
                    <m:t>1-</m:t>
                  </m:r>
                  <m:sSup>
                    <m:sSupPr>
                      <m:ctrlPr>
                        <w:rPr>
                          <w:rFonts w:ascii="Cambria Math" w:hAnsi="Cambria Math"/>
                          <w:i/>
                          <w:sz w:val="18"/>
                          <w:szCs w:val="18"/>
                        </w:rPr>
                      </m:ctrlPr>
                    </m:sSupPr>
                    <m:e>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1+y</m:t>
                              </m:r>
                            </m:den>
                          </m:f>
                        </m:e>
                      </m:d>
                    </m:e>
                    <m:sup>
                      <m:r>
                        <w:rPr>
                          <w:rFonts w:ascii="Cambria Math" w:hAnsi="Cambria Math"/>
                          <w:sz w:val="18"/>
                          <w:szCs w:val="18"/>
                        </w:rPr>
                        <m:t>T</m:t>
                      </m:r>
                    </m:sup>
                  </m:sSup>
                </m:e>
              </m:d>
              <m:r>
                <w:rPr>
                  <w:rFonts w:ascii="Cambria Math" w:hAnsi="Cambria Math"/>
                  <w:sz w:val="18"/>
                  <w:szCs w:val="18"/>
                </w:rPr>
                <m:t>-T</m:t>
              </m:r>
              <m:sSup>
                <m:sSupPr>
                  <m:ctrlPr>
                    <w:rPr>
                      <w:rFonts w:ascii="Cambria Math" w:hAnsi="Cambria Math"/>
                      <w:i/>
                      <w:sz w:val="18"/>
                      <w:szCs w:val="18"/>
                    </w:rPr>
                  </m:ctrlPr>
                </m:sSupPr>
                <m:e>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1+y</m:t>
                          </m:r>
                        </m:den>
                      </m:f>
                    </m:e>
                  </m:d>
                </m:e>
                <m:sup>
                  <m:r>
                    <w:rPr>
                      <w:rFonts w:ascii="Cambria Math" w:hAnsi="Cambria Math"/>
                      <w:sz w:val="18"/>
                      <w:szCs w:val="18"/>
                    </w:rPr>
                    <m:t>T</m:t>
                  </m:r>
                </m:sup>
              </m:sSup>
            </m:e>
          </m:d>
          <m:r>
            <w:rPr>
              <w:rFonts w:ascii="Cambria Math" w:eastAsiaTheme="minorEastAsia" w:hAnsi="Cambria Math"/>
              <w:sz w:val="20"/>
              <w:szCs w:val="20"/>
            </w:rPr>
            <m:t>-i</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0</m:t>
              </m:r>
            </m:sub>
          </m:sSub>
          <m:r>
            <w:rPr>
              <w:rFonts w:ascii="Cambria Math" w:eastAsiaTheme="minorEastAsia" w:hAnsi="Cambria Math"/>
              <w:sz w:val="20"/>
              <w:szCs w:val="20"/>
            </w:rPr>
            <m:t>×</m:t>
          </m:r>
          <m:d>
            <m:dPr>
              <m:ctrlPr>
                <w:rPr>
                  <w:rFonts w:ascii="Cambria Math" w:eastAsiaTheme="minorEastAsia" w:hAnsi="Cambria Math"/>
                  <w:i/>
                  <w:sz w:val="20"/>
                  <w:szCs w:val="20"/>
                </w:rPr>
              </m:ctrlPr>
            </m:dPr>
            <m:e>
              <m:r>
                <w:rPr>
                  <w:rFonts w:ascii="Cambria Math" w:eastAsiaTheme="minorEastAsia" w:hAnsi="Cambria Math"/>
                  <w:sz w:val="20"/>
                  <w:szCs w:val="20"/>
                </w:rPr>
                <m:t>1-</m:t>
              </m:r>
              <m:f>
                <m:fPr>
                  <m:ctrlPr>
                    <w:rPr>
                      <w:rFonts w:ascii="Cambria Math" w:eastAsiaTheme="minorEastAsia" w:hAnsi="Cambria Math"/>
                      <w:i/>
                      <w:sz w:val="20"/>
                      <w:szCs w:val="20"/>
                    </w:rPr>
                  </m:ctrlPr>
                </m:fPr>
                <m:num>
                  <m:r>
                    <w:rPr>
                      <w:rFonts w:ascii="Cambria Math" w:eastAsiaTheme="minorEastAsia" w:hAnsi="Cambria Math"/>
                      <w:sz w:val="20"/>
                      <w:szCs w:val="20"/>
                    </w:rPr>
                    <m:t>1</m:t>
                  </m:r>
                </m:num>
                <m:den>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r>
                            <w:rPr>
                              <w:rFonts w:ascii="Cambria Math" w:eastAsiaTheme="minorEastAsia" w:hAnsi="Cambria Math"/>
                              <w:sz w:val="20"/>
                              <w:szCs w:val="20"/>
                            </w:rPr>
                            <m:t>1+y</m:t>
                          </m:r>
                        </m:e>
                      </m:d>
                    </m:e>
                    <m:sup>
                      <m:r>
                        <w:rPr>
                          <w:rFonts w:ascii="Cambria Math" w:eastAsiaTheme="minorEastAsia" w:hAnsi="Cambria Math"/>
                          <w:sz w:val="20"/>
                          <w:szCs w:val="20"/>
                        </w:rPr>
                        <m:t>T</m:t>
                      </m:r>
                    </m:sup>
                  </m:sSup>
                </m:den>
              </m:f>
            </m:e>
          </m:d>
        </m:oMath>
      </m:oMathPara>
    </w:p>
    <w:p w:rsidR="00921EE7" w:rsidRDefault="00921EE7" w:rsidP="00C14274">
      <w:pPr>
        <w:rPr>
          <w:rFonts w:eastAsiaTheme="minorEastAsia"/>
          <w:sz w:val="20"/>
          <w:szCs w:val="20"/>
        </w:rPr>
      </w:pPr>
      <w:r>
        <w:rPr>
          <w:rFonts w:eastAsiaTheme="minorEastAsia"/>
          <w:sz w:val="20"/>
          <w:szCs w:val="20"/>
        </w:rPr>
        <w:t>After simplifying we obtain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79"/>
      </w:tblGrid>
      <w:tr w:rsidR="009154A8" w:rsidTr="009154A8">
        <w:tc>
          <w:tcPr>
            <w:tcW w:w="8897" w:type="dxa"/>
            <w:vAlign w:val="center"/>
          </w:tcPr>
          <w:p w:rsidR="009154A8" w:rsidRDefault="009154A8" w:rsidP="009154A8">
            <w:pPr>
              <w:jc w:val="center"/>
              <w:rPr>
                <w:rFonts w:eastAsiaTheme="minorEastAsia"/>
                <w:sz w:val="20"/>
                <w:szCs w:val="20"/>
              </w:rPr>
            </w:pPr>
            <m:oMathPara>
              <m:oMath>
                <m:r>
                  <w:rPr>
                    <w:rFonts w:ascii="Cambria Math" w:hAnsi="Cambria Math"/>
                  </w:rPr>
                  <m:t>X= Py+</m:t>
                </m:r>
                <m:f>
                  <m:fPr>
                    <m:ctrlPr>
                      <w:rPr>
                        <w:rFonts w:ascii="Cambria Math" w:eastAsiaTheme="minorEastAsia" w:hAnsi="Cambria Math"/>
                        <w:i/>
                        <w:sz w:val="20"/>
                        <w:szCs w:val="20"/>
                      </w:rPr>
                    </m:ctrlPr>
                  </m:fPr>
                  <m:num>
                    <m:r>
                      <w:rPr>
                        <w:rFonts w:ascii="Cambria Math" w:eastAsiaTheme="minorEastAsia" w:hAnsi="Cambria Math"/>
                        <w:sz w:val="20"/>
                        <w:szCs w:val="20"/>
                      </w:rPr>
                      <m:t>i</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0</m:t>
                        </m:r>
                      </m:sub>
                    </m:sSub>
                  </m:num>
                  <m:den>
                    <m:r>
                      <w:rPr>
                        <w:rFonts w:ascii="Cambria Math" w:eastAsiaTheme="minorEastAsia" w:hAnsi="Cambria Math"/>
                        <w:sz w:val="20"/>
                        <w:szCs w:val="20"/>
                      </w:rPr>
                      <m:t>T</m:t>
                    </m:r>
                  </m:den>
                </m:f>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w:rPr>
                            <w:rFonts w:ascii="Cambria Math" w:eastAsiaTheme="minorEastAsia" w:hAnsi="Cambria Math"/>
                            <w:sz w:val="20"/>
                            <w:szCs w:val="20"/>
                          </w:rPr>
                          <m:t>1+y</m:t>
                        </m:r>
                      </m:num>
                      <m:den>
                        <m:r>
                          <w:rPr>
                            <w:rFonts w:ascii="Cambria Math" w:eastAsiaTheme="minorEastAsia" w:hAnsi="Cambria Math"/>
                            <w:sz w:val="20"/>
                            <w:szCs w:val="20"/>
                          </w:rPr>
                          <m:t>y</m:t>
                        </m:r>
                      </m:den>
                    </m:f>
                    <m:d>
                      <m:dPr>
                        <m:ctrlPr>
                          <w:rPr>
                            <w:rFonts w:ascii="Cambria Math" w:hAnsi="Cambria Math"/>
                            <w:i/>
                            <w:sz w:val="18"/>
                            <w:szCs w:val="18"/>
                          </w:rPr>
                        </m:ctrlPr>
                      </m:dPr>
                      <m:e>
                        <m:r>
                          <w:rPr>
                            <w:rFonts w:ascii="Cambria Math" w:hAnsi="Cambria Math"/>
                            <w:sz w:val="18"/>
                            <w:szCs w:val="18"/>
                          </w:rPr>
                          <m:t>1-</m:t>
                        </m:r>
                        <m:sSup>
                          <m:sSupPr>
                            <m:ctrlPr>
                              <w:rPr>
                                <w:rFonts w:ascii="Cambria Math" w:hAnsi="Cambria Math"/>
                                <w:i/>
                                <w:sz w:val="18"/>
                                <w:szCs w:val="18"/>
                              </w:rPr>
                            </m:ctrlPr>
                          </m:sSupPr>
                          <m:e>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1+y</m:t>
                                    </m:r>
                                  </m:den>
                                </m:f>
                              </m:e>
                            </m:d>
                          </m:e>
                          <m:sup>
                            <m:r>
                              <w:rPr>
                                <w:rFonts w:ascii="Cambria Math" w:hAnsi="Cambria Math"/>
                                <w:sz w:val="18"/>
                                <w:szCs w:val="18"/>
                              </w:rPr>
                              <m:t>T</m:t>
                            </m:r>
                          </m:sup>
                        </m:sSup>
                      </m:e>
                    </m:d>
                    <m:r>
                      <w:rPr>
                        <w:rFonts w:ascii="Cambria Math" w:hAnsi="Cambria Math"/>
                        <w:sz w:val="18"/>
                        <w:szCs w:val="18"/>
                      </w:rPr>
                      <m:t>-T</m:t>
                    </m:r>
                  </m:e>
                </m:d>
              </m:oMath>
            </m:oMathPara>
          </w:p>
        </w:tc>
        <w:tc>
          <w:tcPr>
            <w:tcW w:w="679" w:type="dxa"/>
            <w:vAlign w:val="center"/>
          </w:tcPr>
          <w:p w:rsidR="009154A8" w:rsidRDefault="009154A8" w:rsidP="009154A8">
            <w:pPr>
              <w:jc w:val="center"/>
              <w:rPr>
                <w:rFonts w:eastAsiaTheme="minorEastAsia"/>
                <w:sz w:val="20"/>
                <w:szCs w:val="20"/>
              </w:rPr>
            </w:pPr>
            <w:r>
              <w:rPr>
                <w:rFonts w:eastAsiaTheme="minorEastAsia"/>
                <w:sz w:val="20"/>
                <w:szCs w:val="20"/>
              </w:rPr>
              <w:t>(1.1)</w:t>
            </w:r>
          </w:p>
        </w:tc>
      </w:tr>
    </w:tbl>
    <w:p w:rsidR="00DD2E6D" w:rsidRDefault="00DD2E6D" w:rsidP="00C14274">
      <w:pPr>
        <w:rPr>
          <w:rFonts w:eastAsiaTheme="minorEastAsia"/>
          <w:sz w:val="20"/>
          <w:szCs w:val="20"/>
        </w:rPr>
      </w:pPr>
      <w:r>
        <w:rPr>
          <w:rFonts w:eastAsiaTheme="minorEastAsia"/>
          <w:sz w:val="20"/>
          <w:szCs w:val="20"/>
        </w:rPr>
        <w:t xml:space="preserve">and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79"/>
      </w:tblGrid>
      <w:tr w:rsidR="009154A8" w:rsidTr="009154A8">
        <w:tc>
          <w:tcPr>
            <w:tcW w:w="8897" w:type="dxa"/>
            <w:vAlign w:val="center"/>
          </w:tcPr>
          <w:p w:rsidR="009154A8" w:rsidRDefault="009154A8" w:rsidP="002F0304">
            <w:pPr>
              <w:jc w:val="center"/>
              <w:rPr>
                <w:rFonts w:eastAsiaTheme="minorEastAsia"/>
                <w:sz w:val="20"/>
                <w:szCs w:val="20"/>
              </w:rPr>
            </w:pPr>
            <m:oMathPara>
              <m:oMath>
                <m:r>
                  <w:rPr>
                    <w:rFonts w:ascii="Cambria Math" w:hAnsi="Cambria Math"/>
                  </w:rPr>
                  <m:t>L=</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0</m:t>
                        </m:r>
                      </m:sub>
                    </m:sSub>
                  </m:num>
                  <m:den>
                    <m:r>
                      <w:rPr>
                        <w:rFonts w:ascii="Cambria Math" w:eastAsiaTheme="minorEastAsia" w:hAnsi="Cambria Math"/>
                      </w:rPr>
                      <m:t>T</m:t>
                    </m:r>
                  </m:den>
                </m:f>
                <m:r>
                  <w:rPr>
                    <w:rFonts w:ascii="Cambria Math" w:eastAsiaTheme="minorEastAsia" w:hAnsi="Cambria Math"/>
                  </w:rPr>
                  <m:t>-X</m:t>
                </m:r>
              </m:oMath>
            </m:oMathPara>
          </w:p>
        </w:tc>
        <w:tc>
          <w:tcPr>
            <w:tcW w:w="679" w:type="dxa"/>
            <w:vAlign w:val="center"/>
          </w:tcPr>
          <w:p w:rsidR="009154A8" w:rsidRDefault="009154A8" w:rsidP="002F0304">
            <w:pPr>
              <w:jc w:val="center"/>
              <w:rPr>
                <w:rFonts w:eastAsiaTheme="minorEastAsia"/>
                <w:sz w:val="20"/>
                <w:szCs w:val="20"/>
              </w:rPr>
            </w:pPr>
            <w:r>
              <w:rPr>
                <w:rFonts w:eastAsiaTheme="minorEastAsia"/>
                <w:sz w:val="20"/>
                <w:szCs w:val="20"/>
              </w:rPr>
              <w:t>(1.2)</w:t>
            </w:r>
          </w:p>
        </w:tc>
      </w:tr>
    </w:tbl>
    <w:p w:rsidR="00DD2E6D" w:rsidRDefault="00DD2E6D" w:rsidP="00C14274">
      <w:r>
        <w:rPr>
          <w:rFonts w:eastAsiaTheme="minorEastAsia"/>
        </w:rPr>
        <w:t xml:space="preserve">In the above equations, the number of periods </w:t>
      </w:r>
      <m:oMath>
        <m:r>
          <w:rPr>
            <w:rFonts w:ascii="Cambria Math" w:eastAsiaTheme="minorEastAsia" w:hAnsi="Cambria Math"/>
          </w:rPr>
          <m:t>T</m:t>
        </m:r>
      </m:oMath>
      <w:r>
        <w:rPr>
          <w:rFonts w:eastAsiaTheme="minorEastAsia"/>
        </w:rPr>
        <w:t xml:space="preserve"> is measured in months, the coupon rate </w:t>
      </w:r>
      <m:oMath>
        <m:r>
          <w:rPr>
            <w:rFonts w:ascii="Cambria Math" w:eastAsiaTheme="minorEastAsia" w:hAnsi="Cambria Math"/>
          </w:rPr>
          <m:t>i</m:t>
        </m:r>
      </m:oMath>
      <w:r>
        <w:rPr>
          <w:rFonts w:eastAsiaTheme="minorEastAsia"/>
        </w:rPr>
        <w:t xml:space="preserve"> and risk free discount rate </w:t>
      </w:r>
      <m:oMath>
        <m:r>
          <w:rPr>
            <w:rFonts w:ascii="Cambria Math" w:eastAsiaTheme="minorEastAsia" w:hAnsi="Cambria Math"/>
          </w:rPr>
          <m:t>y</m:t>
        </m:r>
      </m:oMath>
      <w:r>
        <w:rPr>
          <w:rFonts w:eastAsiaTheme="minorEastAsia"/>
        </w:rPr>
        <w:t xml:space="preserve"> are monthly rates.</w:t>
      </w:r>
    </w:p>
    <w:sectPr w:rsidR="00DD2E6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6E9" w:rsidRDefault="005836E9" w:rsidP="00FB658B">
      <w:pPr>
        <w:spacing w:after="0" w:line="240" w:lineRule="auto"/>
      </w:pPr>
      <w:r>
        <w:separator/>
      </w:r>
    </w:p>
  </w:endnote>
  <w:endnote w:type="continuationSeparator" w:id="0">
    <w:p w:rsidR="005836E9" w:rsidRDefault="005836E9" w:rsidP="00FB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6E9" w:rsidRDefault="005836E9" w:rsidP="00FB658B">
      <w:pPr>
        <w:spacing w:after="0" w:line="240" w:lineRule="auto"/>
      </w:pPr>
      <w:r>
        <w:separator/>
      </w:r>
    </w:p>
  </w:footnote>
  <w:footnote w:type="continuationSeparator" w:id="0">
    <w:p w:rsidR="005836E9" w:rsidRDefault="005836E9" w:rsidP="00FB658B">
      <w:pPr>
        <w:spacing w:after="0" w:line="240" w:lineRule="auto"/>
      </w:pPr>
      <w:r>
        <w:continuationSeparator/>
      </w:r>
    </w:p>
  </w:footnote>
  <w:footnote w:id="1">
    <w:p w:rsidR="00B0443C" w:rsidRDefault="00B0443C">
      <w:pPr>
        <w:pStyle w:val="FootnoteText"/>
      </w:pPr>
      <w:r>
        <w:rPr>
          <w:rStyle w:val="FootnoteReference"/>
        </w:rPr>
        <w:footnoteRef/>
      </w:r>
      <w:r>
        <w:t xml:space="preserve"> Note that forward Libor rates are different from projected expected Libor rates. Applying forward rates is based on the assumption that investor into the floating-rate security hedges the volatility in Libor rates by entering in Libor forward contracts.</w:t>
      </w:r>
    </w:p>
  </w:footnote>
  <w:footnote w:id="2">
    <w:p w:rsidR="00B0443C" w:rsidRDefault="00B0443C">
      <w:pPr>
        <w:pStyle w:val="FootnoteText"/>
      </w:pPr>
      <w:r>
        <w:rPr>
          <w:rStyle w:val="FootnoteReference"/>
        </w:rPr>
        <w:footnoteRef/>
      </w:r>
      <w:r>
        <w:rPr>
          <w:rStyle w:val="FootnoteReference"/>
        </w:rPr>
        <w:footnoteRef/>
      </w:r>
      <w:r>
        <w:t xml:space="preserve"> Note that if the value of the house exceeds the outstanding nominal amount of the mortgage loan, the mortgage holder can either sell or refinance the house and repay the loan. Therefore the borrower will default on the loan only if the value of the house will not cover the remaining loan balances (if </w:t>
      </w:r>
      <m:oMath>
        <m:r>
          <w:rPr>
            <w:rFonts w:ascii="Cambria Math" w:eastAsiaTheme="minorEastAsia" w:hAnsi="Cambria Math"/>
          </w:rPr>
          <m:t>R&lt;1</m:t>
        </m:r>
      </m:oMath>
      <w:r>
        <w:rPr>
          <w:rFonts w:eastAsiaTheme="minorEastAsia"/>
        </w:rPr>
        <w:t>).</w:t>
      </w:r>
    </w:p>
  </w:footnote>
  <w:footnote w:id="3">
    <w:p w:rsidR="00B0443C" w:rsidRPr="00FB658B" w:rsidRDefault="00B0443C" w:rsidP="00B9642E">
      <w:pPr>
        <w:pStyle w:val="FootnoteText"/>
        <w:rPr>
          <w:sz w:val="18"/>
          <w:szCs w:val="18"/>
        </w:rPr>
      </w:pPr>
      <w:r w:rsidRPr="00FB658B">
        <w:rPr>
          <w:rStyle w:val="FootnoteReference"/>
          <w:sz w:val="16"/>
          <w:szCs w:val="16"/>
        </w:rPr>
        <w:footnoteRef/>
      </w:r>
      <w:r>
        <w:rPr>
          <w:sz w:val="16"/>
          <w:szCs w:val="16"/>
        </w:rPr>
        <w:t xml:space="preserve"> </w:t>
      </w:r>
      <w:r w:rsidRPr="00FB658B">
        <w:rPr>
          <w:sz w:val="18"/>
          <w:szCs w:val="18"/>
        </w:rPr>
        <w:t xml:space="preserve">The simplest generic approach to estimate different discounted sums expressions is via the function </w:t>
      </w:r>
      <m:oMath>
        <m:r>
          <w:rPr>
            <w:rFonts w:ascii="Cambria Math" w:hAnsi="Cambria Math"/>
            <w:sz w:val="18"/>
            <w:szCs w:val="18"/>
          </w:rPr>
          <m:t>φ</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nary>
          <m:naryPr>
            <m:chr m:val="∑"/>
            <m:limLoc m:val="undOvr"/>
            <m:supHide m:val="1"/>
            <m:ctrlPr>
              <w:rPr>
                <w:rFonts w:ascii="Cambria Math" w:hAnsi="Cambria Math"/>
                <w:i/>
                <w:sz w:val="18"/>
                <w:szCs w:val="18"/>
              </w:rPr>
            </m:ctrlPr>
          </m:naryPr>
          <m:sub>
            <m:r>
              <w:rPr>
                <w:rFonts w:ascii="Cambria Math" w:hAnsi="Cambria Math"/>
                <w:sz w:val="18"/>
                <w:szCs w:val="18"/>
              </w:rPr>
              <m:t>t=1,…,T</m:t>
            </m:r>
          </m:sub>
          <m:sup/>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t</m:t>
                    </m:r>
                  </m:sup>
                </m:sSup>
              </m:num>
              <m:den>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1+y</m:t>
                        </m:r>
                      </m:e>
                    </m:d>
                  </m:e>
                  <m:sup>
                    <m:r>
                      <w:rPr>
                        <w:rFonts w:ascii="Cambria Math" w:hAnsi="Cambria Math"/>
                        <w:sz w:val="18"/>
                        <w:szCs w:val="18"/>
                      </w:rPr>
                      <m:t>t</m:t>
                    </m:r>
                  </m:sup>
                </m:sSup>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x</m:t>
                </m:r>
              </m:num>
              <m:den>
                <m:r>
                  <w:rPr>
                    <w:rFonts w:ascii="Cambria Math" w:hAnsi="Cambria Math"/>
                    <w:sz w:val="18"/>
                    <w:szCs w:val="18"/>
                  </w:rPr>
                  <m:t>1+y-x</m:t>
                </m:r>
              </m:den>
            </m:f>
            <m:d>
              <m:dPr>
                <m:ctrlPr>
                  <w:rPr>
                    <w:rFonts w:ascii="Cambria Math" w:hAnsi="Cambria Math"/>
                    <w:i/>
                    <w:sz w:val="18"/>
                    <w:szCs w:val="18"/>
                  </w:rPr>
                </m:ctrlPr>
              </m:dPr>
              <m:e>
                <m:r>
                  <w:rPr>
                    <w:rFonts w:ascii="Cambria Math" w:hAnsi="Cambria Math"/>
                    <w:sz w:val="18"/>
                    <w:szCs w:val="18"/>
                  </w:rPr>
                  <m:t>1-</m:t>
                </m:r>
                <m:sSup>
                  <m:sSupPr>
                    <m:ctrlPr>
                      <w:rPr>
                        <w:rFonts w:ascii="Cambria Math" w:hAnsi="Cambria Math"/>
                        <w:i/>
                        <w:sz w:val="18"/>
                        <w:szCs w:val="18"/>
                      </w:rPr>
                    </m:ctrlPr>
                  </m:sSupPr>
                  <m:e>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x</m:t>
                            </m:r>
                          </m:num>
                          <m:den>
                            <m:r>
                              <w:rPr>
                                <w:rFonts w:ascii="Cambria Math" w:hAnsi="Cambria Math"/>
                                <w:sz w:val="18"/>
                                <w:szCs w:val="18"/>
                              </w:rPr>
                              <m:t>1+y</m:t>
                            </m:r>
                          </m:den>
                        </m:f>
                      </m:e>
                    </m:d>
                  </m:e>
                  <m:sup>
                    <m:r>
                      <w:rPr>
                        <w:rFonts w:ascii="Cambria Math" w:hAnsi="Cambria Math"/>
                        <w:sz w:val="18"/>
                        <w:szCs w:val="18"/>
                      </w:rPr>
                      <m:t>T</m:t>
                    </m:r>
                  </m:sup>
                </m:sSup>
              </m:e>
            </m:d>
          </m:e>
        </m:nary>
      </m:oMath>
      <w:r>
        <w:rPr>
          <w:rFonts w:eastAsiaTheme="minorEastAsia"/>
          <w:sz w:val="18"/>
          <w:szCs w:val="18"/>
        </w:rPr>
        <w:t xml:space="preserve">. Using the function formula, we can estimate that </w:t>
      </w:r>
      <m:oMath>
        <m:nary>
          <m:naryPr>
            <m:chr m:val="∑"/>
            <m:limLoc m:val="undOvr"/>
            <m:supHide m:val="1"/>
            <m:ctrlPr>
              <w:rPr>
                <w:rFonts w:ascii="Cambria Math" w:eastAsiaTheme="minorEastAsia" w:hAnsi="Cambria Math"/>
                <w:i/>
                <w:sz w:val="18"/>
                <w:szCs w:val="18"/>
              </w:rPr>
            </m:ctrlPr>
          </m:naryPr>
          <m:sub>
            <m:r>
              <w:rPr>
                <w:rFonts w:ascii="Cambria Math" w:eastAsiaTheme="minorEastAsia" w:hAnsi="Cambria Math"/>
                <w:sz w:val="18"/>
                <w:szCs w:val="18"/>
              </w:rPr>
              <m:t>t=1,…,T</m:t>
            </m:r>
          </m:sub>
          <m:sup/>
          <m:e>
            <m:f>
              <m:fPr>
                <m:ctrlPr>
                  <w:rPr>
                    <w:rFonts w:ascii="Cambria Math" w:eastAsiaTheme="minorEastAsia" w:hAnsi="Cambria Math"/>
                    <w:i/>
                    <w:sz w:val="18"/>
                    <w:szCs w:val="18"/>
                  </w:rPr>
                </m:ctrlPr>
              </m:fPr>
              <m:num>
                <m:r>
                  <w:rPr>
                    <w:rFonts w:ascii="Cambria Math" w:eastAsiaTheme="minorEastAsia" w:hAnsi="Cambria Math"/>
                    <w:sz w:val="18"/>
                    <w:szCs w:val="18"/>
                  </w:rPr>
                  <m:t>1</m:t>
                </m:r>
              </m:num>
              <m:den>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1+y</m:t>
                        </m:r>
                      </m:e>
                    </m:d>
                  </m:e>
                  <m:sup>
                    <m:r>
                      <w:rPr>
                        <w:rFonts w:ascii="Cambria Math" w:hAnsi="Cambria Math"/>
                        <w:sz w:val="18"/>
                        <w:szCs w:val="18"/>
                      </w:rPr>
                      <m:t>t</m:t>
                    </m:r>
                  </m:sup>
                </m:sSup>
              </m:den>
            </m:f>
            <m:r>
              <w:rPr>
                <w:rFonts w:ascii="Cambria Math" w:eastAsiaTheme="minorEastAsia" w:hAnsi="Cambria Math"/>
                <w:sz w:val="18"/>
                <w:szCs w:val="18"/>
              </w:rPr>
              <m:t>=</m:t>
            </m:r>
            <m:r>
              <w:rPr>
                <w:rFonts w:ascii="Cambria Math" w:hAnsi="Cambria Math"/>
                <w:sz w:val="18"/>
                <w:szCs w:val="18"/>
              </w:rPr>
              <m:t>φ</m:t>
            </m:r>
            <m:d>
              <m:dPr>
                <m:ctrlPr>
                  <w:rPr>
                    <w:rFonts w:ascii="Cambria Math" w:hAnsi="Cambria Math"/>
                    <w:i/>
                    <w:sz w:val="18"/>
                    <w:szCs w:val="18"/>
                  </w:rPr>
                </m:ctrlPr>
              </m:dPr>
              <m:e>
                <m:r>
                  <w:rPr>
                    <w:rFonts w:ascii="Cambria Math" w:hAnsi="Cambria Math"/>
                    <w:sz w:val="18"/>
                    <w:szCs w:val="18"/>
                  </w:rPr>
                  <m:t>1</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y</m:t>
                </m:r>
              </m:den>
            </m:f>
            <m:d>
              <m:dPr>
                <m:ctrlPr>
                  <w:rPr>
                    <w:rFonts w:ascii="Cambria Math" w:hAnsi="Cambria Math"/>
                    <w:i/>
                    <w:sz w:val="18"/>
                    <w:szCs w:val="18"/>
                  </w:rPr>
                </m:ctrlPr>
              </m:dPr>
              <m:e>
                <m:r>
                  <w:rPr>
                    <w:rFonts w:ascii="Cambria Math" w:hAnsi="Cambria Math"/>
                    <w:sz w:val="18"/>
                    <w:szCs w:val="18"/>
                  </w:rPr>
                  <m:t>1-</m:t>
                </m:r>
                <m:sSup>
                  <m:sSupPr>
                    <m:ctrlPr>
                      <w:rPr>
                        <w:rFonts w:ascii="Cambria Math" w:hAnsi="Cambria Math"/>
                        <w:i/>
                        <w:sz w:val="18"/>
                        <w:szCs w:val="18"/>
                      </w:rPr>
                    </m:ctrlPr>
                  </m:sSupPr>
                  <m:e>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1+y</m:t>
                            </m:r>
                          </m:den>
                        </m:f>
                      </m:e>
                    </m:d>
                  </m:e>
                  <m:sup>
                    <m:r>
                      <w:rPr>
                        <w:rFonts w:ascii="Cambria Math" w:hAnsi="Cambria Math"/>
                        <w:sz w:val="18"/>
                        <w:szCs w:val="18"/>
                      </w:rPr>
                      <m:t>T</m:t>
                    </m:r>
                  </m:sup>
                </m:sSup>
              </m:e>
            </m:d>
          </m:e>
        </m:nary>
      </m:oMath>
      <w:r>
        <w:rPr>
          <w:rFonts w:eastAsiaTheme="minorEastAsia"/>
          <w:sz w:val="18"/>
          <w:szCs w:val="18"/>
        </w:rPr>
        <w:t xml:space="preserve">, and </w:t>
      </w:r>
      <m:oMath>
        <m:nary>
          <m:naryPr>
            <m:chr m:val="∑"/>
            <m:limLoc m:val="undOvr"/>
            <m:supHide m:val="1"/>
            <m:ctrlPr>
              <w:rPr>
                <w:rFonts w:ascii="Cambria Math" w:eastAsiaTheme="minorEastAsia" w:hAnsi="Cambria Math"/>
                <w:i/>
                <w:sz w:val="18"/>
                <w:szCs w:val="18"/>
              </w:rPr>
            </m:ctrlPr>
          </m:naryPr>
          <m:sub>
            <m:r>
              <w:rPr>
                <w:rFonts w:ascii="Cambria Math" w:eastAsiaTheme="minorEastAsia" w:hAnsi="Cambria Math"/>
                <w:sz w:val="18"/>
                <w:szCs w:val="18"/>
              </w:rPr>
              <m:t>t=1,…,T</m:t>
            </m:r>
          </m:sub>
          <m:sup/>
          <m:e>
            <m:f>
              <m:fPr>
                <m:ctrlPr>
                  <w:rPr>
                    <w:rFonts w:ascii="Cambria Math" w:eastAsiaTheme="minorEastAsia" w:hAnsi="Cambria Math"/>
                    <w:i/>
                    <w:sz w:val="18"/>
                    <w:szCs w:val="18"/>
                  </w:rPr>
                </m:ctrlPr>
              </m:fPr>
              <m:num>
                <m:r>
                  <w:rPr>
                    <w:rFonts w:ascii="Cambria Math" w:eastAsiaTheme="minorEastAsia" w:hAnsi="Cambria Math"/>
                    <w:sz w:val="18"/>
                    <w:szCs w:val="18"/>
                  </w:rPr>
                  <m:t>t</m:t>
                </m:r>
              </m:num>
              <m:den>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1+y</m:t>
                        </m:r>
                      </m:e>
                    </m:d>
                  </m:e>
                  <m:sup>
                    <m:r>
                      <w:rPr>
                        <w:rFonts w:ascii="Cambria Math" w:hAnsi="Cambria Math"/>
                        <w:sz w:val="18"/>
                        <w:szCs w:val="18"/>
                      </w:rPr>
                      <m:t>t</m:t>
                    </m:r>
                  </m:sup>
                </m:sSup>
              </m:den>
            </m:f>
            <m:r>
              <w:rPr>
                <w:rFonts w:ascii="Cambria Math" w:eastAsiaTheme="minorEastAsia" w:hAnsi="Cambria Math"/>
                <w:sz w:val="18"/>
                <w:szCs w:val="18"/>
              </w:rPr>
              <m:t>=</m:t>
            </m:r>
            <m:sSup>
              <m:sSupPr>
                <m:ctrlPr>
                  <w:rPr>
                    <w:rFonts w:ascii="Cambria Math" w:hAnsi="Cambria Math"/>
                    <w:i/>
                    <w:sz w:val="18"/>
                    <w:szCs w:val="18"/>
                  </w:rPr>
                </m:ctrlPr>
              </m:sSupPr>
              <m:e>
                <m:r>
                  <w:rPr>
                    <w:rFonts w:ascii="Cambria Math" w:hAnsi="Cambria Math"/>
                    <w:sz w:val="18"/>
                    <w:szCs w:val="18"/>
                  </w:rPr>
                  <m:t>φ</m:t>
                </m:r>
              </m:e>
              <m:sup>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e>
                </m:d>
              </m:sup>
            </m:sSup>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1+y-x-x</m:t>
                </m:r>
                <m:d>
                  <m:dPr>
                    <m:ctrlPr>
                      <w:rPr>
                        <w:rFonts w:ascii="Cambria Math" w:hAnsi="Cambria Math"/>
                        <w:i/>
                        <w:sz w:val="18"/>
                        <w:szCs w:val="18"/>
                      </w:rPr>
                    </m:ctrlPr>
                  </m:dPr>
                  <m:e>
                    <m:r>
                      <w:rPr>
                        <w:rFonts w:ascii="Cambria Math" w:hAnsi="Cambria Math"/>
                        <w:sz w:val="18"/>
                        <w:szCs w:val="18"/>
                      </w:rPr>
                      <m:t>-1</m:t>
                    </m:r>
                  </m:e>
                </m:d>
              </m:num>
              <m:den>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1+y-x</m:t>
                        </m:r>
                      </m:e>
                    </m:d>
                  </m:e>
                  <m:sup>
                    <m:r>
                      <w:rPr>
                        <w:rFonts w:ascii="Cambria Math" w:hAnsi="Cambria Math"/>
                        <w:sz w:val="18"/>
                        <w:szCs w:val="18"/>
                      </w:rPr>
                      <m:t>2</m:t>
                    </m:r>
                  </m:sup>
                </m:sSup>
              </m:den>
            </m:f>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sSup>
                  <m:sSupPr>
                    <m:ctrlPr>
                      <w:rPr>
                        <w:rFonts w:ascii="Cambria Math" w:hAnsi="Cambria Math"/>
                        <w:i/>
                        <w:sz w:val="18"/>
                        <w:szCs w:val="18"/>
                      </w:rPr>
                    </m:ctrlPr>
                  </m:sSupPr>
                  <m:e>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x</m:t>
                            </m:r>
                          </m:num>
                          <m:den>
                            <m:r>
                              <w:rPr>
                                <w:rFonts w:ascii="Cambria Math" w:hAnsi="Cambria Math"/>
                                <w:sz w:val="18"/>
                                <w:szCs w:val="18"/>
                              </w:rPr>
                              <m:t>1+y</m:t>
                            </m:r>
                          </m:den>
                        </m:f>
                      </m:e>
                    </m:d>
                  </m:e>
                  <m:sup>
                    <m:r>
                      <w:rPr>
                        <w:rFonts w:ascii="Cambria Math" w:hAnsi="Cambria Math"/>
                        <w:sz w:val="18"/>
                        <w:szCs w:val="18"/>
                      </w:rPr>
                      <m:t>T</m:t>
                    </m:r>
                  </m:sup>
                </m:sSup>
              </m:e>
            </m:d>
            <m:r>
              <w:rPr>
                <w:rFonts w:ascii="Cambria Math" w:hAnsi="Cambria Math"/>
                <w:sz w:val="18"/>
                <w:szCs w:val="18"/>
              </w:rPr>
              <m:t>-T</m:t>
            </m:r>
            <m:f>
              <m:fPr>
                <m:ctrlPr>
                  <w:rPr>
                    <w:rFonts w:ascii="Cambria Math" w:hAnsi="Cambria Math"/>
                    <w:i/>
                    <w:sz w:val="18"/>
                    <w:szCs w:val="18"/>
                  </w:rPr>
                </m:ctrlPr>
              </m:fPr>
              <m:num>
                <m:r>
                  <w:rPr>
                    <w:rFonts w:ascii="Cambria Math" w:hAnsi="Cambria Math"/>
                    <w:sz w:val="18"/>
                    <w:szCs w:val="18"/>
                  </w:rPr>
                  <m:t>x</m:t>
                </m:r>
              </m:num>
              <m:den>
                <m:r>
                  <w:rPr>
                    <w:rFonts w:ascii="Cambria Math" w:hAnsi="Cambria Math"/>
                    <w:sz w:val="18"/>
                    <w:szCs w:val="18"/>
                  </w:rPr>
                  <m:t>1+y-x</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1+y</m:t>
                </m:r>
              </m:den>
            </m:f>
          </m:e>
        </m:nary>
        <m:r>
          <w:rPr>
            <w:rFonts w:ascii="Cambria Math" w:eastAsiaTheme="minorEastAsia" w:hAnsi="Cambria Math"/>
            <w:sz w:val="18"/>
            <w:szCs w:val="18"/>
          </w:rPr>
          <m:t>×</m:t>
        </m:r>
        <m:sSup>
          <m:sSupPr>
            <m:ctrlPr>
              <w:rPr>
                <w:rFonts w:ascii="Cambria Math" w:hAnsi="Cambria Math"/>
                <w:i/>
                <w:sz w:val="18"/>
                <w:szCs w:val="18"/>
              </w:rPr>
            </m:ctrlPr>
          </m:sSupPr>
          <m:e>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x</m:t>
                    </m:r>
                  </m:num>
                  <m:den>
                    <m:r>
                      <w:rPr>
                        <w:rFonts w:ascii="Cambria Math" w:hAnsi="Cambria Math"/>
                        <w:sz w:val="18"/>
                        <w:szCs w:val="18"/>
                      </w:rPr>
                      <m:t>1+y</m:t>
                    </m:r>
                  </m:den>
                </m:f>
              </m:e>
            </m:d>
          </m:e>
          <m:sup>
            <m:r>
              <w:rPr>
                <w:rFonts w:ascii="Cambria Math" w:hAnsi="Cambria Math"/>
                <w:sz w:val="18"/>
                <w:szCs w:val="18"/>
              </w:rPr>
              <m:t>T-1</m:t>
            </m:r>
          </m:sup>
        </m:sSup>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1+y</m:t>
            </m:r>
          </m:num>
          <m:den>
            <m:sSup>
              <m:sSupPr>
                <m:ctrlPr>
                  <w:rPr>
                    <w:rFonts w:ascii="Cambria Math" w:hAnsi="Cambria Math"/>
                    <w:i/>
                    <w:sz w:val="18"/>
                    <w:szCs w:val="18"/>
                  </w:rPr>
                </m:ctrlPr>
              </m:sSupPr>
              <m:e>
                <m:r>
                  <w:rPr>
                    <w:rFonts w:ascii="Cambria Math" w:hAnsi="Cambria Math"/>
                    <w:sz w:val="18"/>
                    <w:szCs w:val="18"/>
                  </w:rPr>
                  <m:t>y</m:t>
                </m:r>
              </m:e>
              <m:sup>
                <m:r>
                  <w:rPr>
                    <w:rFonts w:ascii="Cambria Math" w:hAnsi="Cambria Math"/>
                    <w:sz w:val="18"/>
                    <w:szCs w:val="18"/>
                  </w:rPr>
                  <m:t>2</m:t>
                </m:r>
              </m:sup>
            </m:sSup>
          </m:den>
        </m:f>
        <m:d>
          <m:dPr>
            <m:ctrlPr>
              <w:rPr>
                <w:rFonts w:ascii="Cambria Math" w:hAnsi="Cambria Math"/>
                <w:i/>
                <w:sz w:val="18"/>
                <w:szCs w:val="18"/>
              </w:rPr>
            </m:ctrlPr>
          </m:dPr>
          <m:e>
            <m:r>
              <w:rPr>
                <w:rFonts w:ascii="Cambria Math" w:hAnsi="Cambria Math"/>
                <w:sz w:val="18"/>
                <w:szCs w:val="18"/>
              </w:rPr>
              <m:t>1-</m:t>
            </m:r>
            <m:sSup>
              <m:sSupPr>
                <m:ctrlPr>
                  <w:rPr>
                    <w:rFonts w:ascii="Cambria Math" w:hAnsi="Cambria Math"/>
                    <w:i/>
                    <w:sz w:val="18"/>
                    <w:szCs w:val="18"/>
                  </w:rPr>
                </m:ctrlPr>
              </m:sSupPr>
              <m:e>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1+y</m:t>
                        </m:r>
                      </m:den>
                    </m:f>
                  </m:e>
                </m:d>
              </m:e>
              <m:sup>
                <m:r>
                  <w:rPr>
                    <w:rFonts w:ascii="Cambria Math" w:hAnsi="Cambria Math"/>
                    <w:sz w:val="18"/>
                    <w:szCs w:val="18"/>
                  </w:rPr>
                  <m:t>T</m:t>
                </m:r>
              </m:sup>
            </m:sSup>
          </m:e>
        </m:d>
        <m:r>
          <w:rPr>
            <w:rFonts w:ascii="Cambria Math" w:hAnsi="Cambria Math"/>
            <w:sz w:val="18"/>
            <w:szCs w:val="18"/>
          </w:rPr>
          <m:t>-T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y</m:t>
            </m:r>
          </m:den>
        </m:f>
        <m:sSup>
          <m:sSupPr>
            <m:ctrlPr>
              <w:rPr>
                <w:rFonts w:ascii="Cambria Math" w:hAnsi="Cambria Math"/>
                <w:i/>
                <w:sz w:val="18"/>
                <w:szCs w:val="18"/>
              </w:rPr>
            </m:ctrlPr>
          </m:sSupPr>
          <m:e>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1+y</m:t>
                    </m:r>
                  </m:den>
                </m:f>
              </m:e>
            </m:d>
          </m:e>
          <m:sup>
            <m:r>
              <w:rPr>
                <w:rFonts w:ascii="Cambria Math" w:hAnsi="Cambria Math"/>
                <w:sz w:val="18"/>
                <w:szCs w:val="18"/>
              </w:rPr>
              <m:t>T</m:t>
            </m:r>
          </m:sup>
        </m:sSup>
      </m:oMath>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46.5pt;height:22.5pt;visibility:visible;mso-wrap-style:square" o:bullet="t">
        <v:imagedata r:id="rId1" o:title=""/>
      </v:shape>
    </w:pict>
  </w:numPicBullet>
  <w:abstractNum w:abstractNumId="0" w15:restartNumberingAfterBreak="0">
    <w:nsid w:val="021C1802"/>
    <w:multiLevelType w:val="hybridMultilevel"/>
    <w:tmpl w:val="978EA7CE"/>
    <w:lvl w:ilvl="0" w:tplc="C58AE782">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1D180D"/>
    <w:multiLevelType w:val="hybridMultilevel"/>
    <w:tmpl w:val="9B6047F0"/>
    <w:lvl w:ilvl="0" w:tplc="4B380F72">
      <w:start w:val="1"/>
      <w:numFmt w:val="bullet"/>
      <w:lvlText w:val=""/>
      <w:lvlJc w:val="left"/>
      <w:pPr>
        <w:ind w:left="720" w:hanging="360"/>
      </w:pPr>
      <w:rPr>
        <w:rFonts w:ascii="Webdings" w:hAnsi="Web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E25A47"/>
    <w:multiLevelType w:val="hybridMultilevel"/>
    <w:tmpl w:val="80303BF0"/>
    <w:lvl w:ilvl="0" w:tplc="4B380F72">
      <w:start w:val="1"/>
      <w:numFmt w:val="bullet"/>
      <w:lvlText w:val=""/>
      <w:lvlJc w:val="left"/>
      <w:pPr>
        <w:ind w:left="720" w:hanging="360"/>
      </w:pPr>
      <w:rPr>
        <w:rFonts w:ascii="Webdings" w:hAnsi="Web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7B6092"/>
    <w:multiLevelType w:val="hybridMultilevel"/>
    <w:tmpl w:val="BD8ADCA2"/>
    <w:lvl w:ilvl="0" w:tplc="C58AE782">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2D244CB"/>
    <w:multiLevelType w:val="hybridMultilevel"/>
    <w:tmpl w:val="E9527368"/>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01290D"/>
    <w:multiLevelType w:val="hybridMultilevel"/>
    <w:tmpl w:val="051C474E"/>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06633C9"/>
    <w:multiLevelType w:val="hybridMultilevel"/>
    <w:tmpl w:val="A7841DE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2112B1A"/>
    <w:multiLevelType w:val="hybridMultilevel"/>
    <w:tmpl w:val="592C47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72A23C1"/>
    <w:multiLevelType w:val="hybridMultilevel"/>
    <w:tmpl w:val="98907B74"/>
    <w:lvl w:ilvl="0" w:tplc="C58AE782">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8E04289"/>
    <w:multiLevelType w:val="hybridMultilevel"/>
    <w:tmpl w:val="A88EBB34"/>
    <w:lvl w:ilvl="0" w:tplc="C58AE782">
      <w:start w:val="1"/>
      <w:numFmt w:val="decimal"/>
      <w:lvlText w:val="%1."/>
      <w:lvlJc w:val="left"/>
      <w:pPr>
        <w:ind w:left="766" w:hanging="360"/>
      </w:pPr>
      <w:rPr>
        <w:b w:val="0"/>
      </w:rPr>
    </w:lvl>
    <w:lvl w:ilvl="1" w:tplc="10090019" w:tentative="1">
      <w:start w:val="1"/>
      <w:numFmt w:val="lowerLetter"/>
      <w:lvlText w:val="%2."/>
      <w:lvlJc w:val="left"/>
      <w:pPr>
        <w:ind w:left="1486" w:hanging="360"/>
      </w:pPr>
    </w:lvl>
    <w:lvl w:ilvl="2" w:tplc="1009001B" w:tentative="1">
      <w:start w:val="1"/>
      <w:numFmt w:val="lowerRoman"/>
      <w:lvlText w:val="%3."/>
      <w:lvlJc w:val="right"/>
      <w:pPr>
        <w:ind w:left="2206" w:hanging="180"/>
      </w:pPr>
    </w:lvl>
    <w:lvl w:ilvl="3" w:tplc="1009000F" w:tentative="1">
      <w:start w:val="1"/>
      <w:numFmt w:val="decimal"/>
      <w:lvlText w:val="%4."/>
      <w:lvlJc w:val="left"/>
      <w:pPr>
        <w:ind w:left="2926" w:hanging="360"/>
      </w:pPr>
    </w:lvl>
    <w:lvl w:ilvl="4" w:tplc="10090019" w:tentative="1">
      <w:start w:val="1"/>
      <w:numFmt w:val="lowerLetter"/>
      <w:lvlText w:val="%5."/>
      <w:lvlJc w:val="left"/>
      <w:pPr>
        <w:ind w:left="3646" w:hanging="360"/>
      </w:pPr>
    </w:lvl>
    <w:lvl w:ilvl="5" w:tplc="1009001B" w:tentative="1">
      <w:start w:val="1"/>
      <w:numFmt w:val="lowerRoman"/>
      <w:lvlText w:val="%6."/>
      <w:lvlJc w:val="right"/>
      <w:pPr>
        <w:ind w:left="4366" w:hanging="180"/>
      </w:pPr>
    </w:lvl>
    <w:lvl w:ilvl="6" w:tplc="1009000F" w:tentative="1">
      <w:start w:val="1"/>
      <w:numFmt w:val="decimal"/>
      <w:lvlText w:val="%7."/>
      <w:lvlJc w:val="left"/>
      <w:pPr>
        <w:ind w:left="5086" w:hanging="360"/>
      </w:pPr>
    </w:lvl>
    <w:lvl w:ilvl="7" w:tplc="10090019" w:tentative="1">
      <w:start w:val="1"/>
      <w:numFmt w:val="lowerLetter"/>
      <w:lvlText w:val="%8."/>
      <w:lvlJc w:val="left"/>
      <w:pPr>
        <w:ind w:left="5806" w:hanging="360"/>
      </w:pPr>
    </w:lvl>
    <w:lvl w:ilvl="8" w:tplc="1009001B" w:tentative="1">
      <w:start w:val="1"/>
      <w:numFmt w:val="lowerRoman"/>
      <w:lvlText w:val="%9."/>
      <w:lvlJc w:val="right"/>
      <w:pPr>
        <w:ind w:left="6526" w:hanging="180"/>
      </w:pPr>
    </w:lvl>
  </w:abstractNum>
  <w:abstractNum w:abstractNumId="10" w15:restartNumberingAfterBreak="0">
    <w:nsid w:val="441228F8"/>
    <w:multiLevelType w:val="hybridMultilevel"/>
    <w:tmpl w:val="B8DC42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C966A24"/>
    <w:multiLevelType w:val="hybridMultilevel"/>
    <w:tmpl w:val="7166C2BC"/>
    <w:lvl w:ilvl="0" w:tplc="4B380F72">
      <w:start w:val="1"/>
      <w:numFmt w:val="bullet"/>
      <w:lvlText w:val=""/>
      <w:lvlJc w:val="left"/>
      <w:pPr>
        <w:ind w:left="720" w:hanging="360"/>
      </w:pPr>
      <w:rPr>
        <w:rFonts w:ascii="Webdings" w:hAnsi="Web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FE0167E"/>
    <w:multiLevelType w:val="hybridMultilevel"/>
    <w:tmpl w:val="082A79E0"/>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7D147A6"/>
    <w:multiLevelType w:val="hybridMultilevel"/>
    <w:tmpl w:val="CF6CEF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D096CC6"/>
    <w:multiLevelType w:val="hybridMultilevel"/>
    <w:tmpl w:val="54023DC2"/>
    <w:lvl w:ilvl="0" w:tplc="4B380F72">
      <w:start w:val="1"/>
      <w:numFmt w:val="bullet"/>
      <w:lvlText w:val=""/>
      <w:lvlJc w:val="left"/>
      <w:pPr>
        <w:ind w:left="720" w:hanging="360"/>
      </w:pPr>
      <w:rPr>
        <w:rFonts w:ascii="Webdings" w:hAnsi="Web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1A9584C"/>
    <w:multiLevelType w:val="hybridMultilevel"/>
    <w:tmpl w:val="8AF8EF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BC23C83"/>
    <w:multiLevelType w:val="hybridMultilevel"/>
    <w:tmpl w:val="454A764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53D04F6"/>
    <w:multiLevelType w:val="hybridMultilevel"/>
    <w:tmpl w:val="F134FB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77A4488"/>
    <w:multiLevelType w:val="hybridMultilevel"/>
    <w:tmpl w:val="D2AA8466"/>
    <w:lvl w:ilvl="0" w:tplc="4B380F72">
      <w:start w:val="1"/>
      <w:numFmt w:val="bullet"/>
      <w:lvlText w:val=""/>
      <w:lvlJc w:val="left"/>
      <w:pPr>
        <w:ind w:left="720" w:hanging="360"/>
      </w:pPr>
      <w:rPr>
        <w:rFonts w:ascii="Webdings" w:hAnsi="Web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D993722"/>
    <w:multiLevelType w:val="hybridMultilevel"/>
    <w:tmpl w:val="0D6098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7"/>
  </w:num>
  <w:num w:numId="2">
    <w:abstractNumId w:val="10"/>
  </w:num>
  <w:num w:numId="3">
    <w:abstractNumId w:val="13"/>
  </w:num>
  <w:num w:numId="4">
    <w:abstractNumId w:val="4"/>
  </w:num>
  <w:num w:numId="5">
    <w:abstractNumId w:val="6"/>
  </w:num>
  <w:num w:numId="6">
    <w:abstractNumId w:val="5"/>
  </w:num>
  <w:num w:numId="7">
    <w:abstractNumId w:val="12"/>
  </w:num>
  <w:num w:numId="8">
    <w:abstractNumId w:val="16"/>
  </w:num>
  <w:num w:numId="9">
    <w:abstractNumId w:val="7"/>
  </w:num>
  <w:num w:numId="10">
    <w:abstractNumId w:val="19"/>
  </w:num>
  <w:num w:numId="11">
    <w:abstractNumId w:val="15"/>
  </w:num>
  <w:num w:numId="12">
    <w:abstractNumId w:val="3"/>
  </w:num>
  <w:num w:numId="13">
    <w:abstractNumId w:val="9"/>
  </w:num>
  <w:num w:numId="14">
    <w:abstractNumId w:val="0"/>
  </w:num>
  <w:num w:numId="15">
    <w:abstractNumId w:val="2"/>
  </w:num>
  <w:num w:numId="16">
    <w:abstractNumId w:val="8"/>
  </w:num>
  <w:num w:numId="17">
    <w:abstractNumId w:val="14"/>
  </w:num>
  <w:num w:numId="18">
    <w:abstractNumId w:val="1"/>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14"/>
    <w:rsid w:val="00001D4F"/>
    <w:rsid w:val="00002579"/>
    <w:rsid w:val="00006F33"/>
    <w:rsid w:val="00007D74"/>
    <w:rsid w:val="0002089C"/>
    <w:rsid w:val="00030EDE"/>
    <w:rsid w:val="00034928"/>
    <w:rsid w:val="00036606"/>
    <w:rsid w:val="00052262"/>
    <w:rsid w:val="000621DE"/>
    <w:rsid w:val="00064332"/>
    <w:rsid w:val="00066392"/>
    <w:rsid w:val="00080C87"/>
    <w:rsid w:val="00083812"/>
    <w:rsid w:val="000851A6"/>
    <w:rsid w:val="00087A7E"/>
    <w:rsid w:val="00092691"/>
    <w:rsid w:val="00092C7C"/>
    <w:rsid w:val="000B4107"/>
    <w:rsid w:val="000B4C28"/>
    <w:rsid w:val="000B7F21"/>
    <w:rsid w:val="000C1E18"/>
    <w:rsid w:val="000C570C"/>
    <w:rsid w:val="000D2269"/>
    <w:rsid w:val="000D2419"/>
    <w:rsid w:val="000E0CEB"/>
    <w:rsid w:val="000E2B09"/>
    <w:rsid w:val="000F036F"/>
    <w:rsid w:val="000F16FD"/>
    <w:rsid w:val="000F5FB2"/>
    <w:rsid w:val="001311F4"/>
    <w:rsid w:val="00135890"/>
    <w:rsid w:val="00137EC7"/>
    <w:rsid w:val="001435E3"/>
    <w:rsid w:val="00144CC5"/>
    <w:rsid w:val="001548C6"/>
    <w:rsid w:val="00162F58"/>
    <w:rsid w:val="0016773C"/>
    <w:rsid w:val="00167894"/>
    <w:rsid w:val="00176548"/>
    <w:rsid w:val="00177E88"/>
    <w:rsid w:val="0018498B"/>
    <w:rsid w:val="001A3554"/>
    <w:rsid w:val="001A4C2A"/>
    <w:rsid w:val="001B0BBD"/>
    <w:rsid w:val="001B4B39"/>
    <w:rsid w:val="001B7D4C"/>
    <w:rsid w:val="001C0371"/>
    <w:rsid w:val="001C1DA7"/>
    <w:rsid w:val="001C3E2D"/>
    <w:rsid w:val="001C4E21"/>
    <w:rsid w:val="001D1B5B"/>
    <w:rsid w:val="001E68E2"/>
    <w:rsid w:val="001E7160"/>
    <w:rsid w:val="00201808"/>
    <w:rsid w:val="00207FB5"/>
    <w:rsid w:val="00220996"/>
    <w:rsid w:val="00221E39"/>
    <w:rsid w:val="00222495"/>
    <w:rsid w:val="00224866"/>
    <w:rsid w:val="0022579C"/>
    <w:rsid w:val="00226A8F"/>
    <w:rsid w:val="00230372"/>
    <w:rsid w:val="00242C78"/>
    <w:rsid w:val="00245D1A"/>
    <w:rsid w:val="002564A6"/>
    <w:rsid w:val="0026053B"/>
    <w:rsid w:val="00261CDD"/>
    <w:rsid w:val="00263BB1"/>
    <w:rsid w:val="00270F00"/>
    <w:rsid w:val="00272898"/>
    <w:rsid w:val="00273C5E"/>
    <w:rsid w:val="00282404"/>
    <w:rsid w:val="0028337C"/>
    <w:rsid w:val="002A0AA0"/>
    <w:rsid w:val="002A4665"/>
    <w:rsid w:val="002B56D2"/>
    <w:rsid w:val="002C2CDF"/>
    <w:rsid w:val="002C3540"/>
    <w:rsid w:val="002D36A3"/>
    <w:rsid w:val="002D7A58"/>
    <w:rsid w:val="002F0304"/>
    <w:rsid w:val="002F1A14"/>
    <w:rsid w:val="002F2311"/>
    <w:rsid w:val="002F2D87"/>
    <w:rsid w:val="002F3926"/>
    <w:rsid w:val="002F545B"/>
    <w:rsid w:val="002F6C10"/>
    <w:rsid w:val="003079F6"/>
    <w:rsid w:val="00310E7D"/>
    <w:rsid w:val="0031133D"/>
    <w:rsid w:val="003214C2"/>
    <w:rsid w:val="00324F2D"/>
    <w:rsid w:val="00325D3F"/>
    <w:rsid w:val="0033387B"/>
    <w:rsid w:val="00353407"/>
    <w:rsid w:val="00363F1F"/>
    <w:rsid w:val="003815A3"/>
    <w:rsid w:val="00382558"/>
    <w:rsid w:val="00382665"/>
    <w:rsid w:val="00382B20"/>
    <w:rsid w:val="00384B18"/>
    <w:rsid w:val="00385A01"/>
    <w:rsid w:val="00387789"/>
    <w:rsid w:val="0039320B"/>
    <w:rsid w:val="0039475C"/>
    <w:rsid w:val="003A1D6D"/>
    <w:rsid w:val="003B2759"/>
    <w:rsid w:val="003D2685"/>
    <w:rsid w:val="003D541E"/>
    <w:rsid w:val="003D7FE9"/>
    <w:rsid w:val="003E25AA"/>
    <w:rsid w:val="003E4065"/>
    <w:rsid w:val="003F0B3F"/>
    <w:rsid w:val="003F4F0C"/>
    <w:rsid w:val="003F5D13"/>
    <w:rsid w:val="00400B60"/>
    <w:rsid w:val="004124BE"/>
    <w:rsid w:val="00435115"/>
    <w:rsid w:val="004475A7"/>
    <w:rsid w:val="00450087"/>
    <w:rsid w:val="00451743"/>
    <w:rsid w:val="0045187F"/>
    <w:rsid w:val="00455FD6"/>
    <w:rsid w:val="004776DD"/>
    <w:rsid w:val="004930A2"/>
    <w:rsid w:val="004A2854"/>
    <w:rsid w:val="004A5DB6"/>
    <w:rsid w:val="004B2233"/>
    <w:rsid w:val="004B2DF5"/>
    <w:rsid w:val="004C3767"/>
    <w:rsid w:val="004C7352"/>
    <w:rsid w:val="004C75E3"/>
    <w:rsid w:val="004D30C9"/>
    <w:rsid w:val="004D5D25"/>
    <w:rsid w:val="004D667C"/>
    <w:rsid w:val="004D7B93"/>
    <w:rsid w:val="004E1384"/>
    <w:rsid w:val="004E68AE"/>
    <w:rsid w:val="004F4BAB"/>
    <w:rsid w:val="004F7123"/>
    <w:rsid w:val="00512494"/>
    <w:rsid w:val="00523DFC"/>
    <w:rsid w:val="00524C62"/>
    <w:rsid w:val="005261DE"/>
    <w:rsid w:val="005326DB"/>
    <w:rsid w:val="005344B4"/>
    <w:rsid w:val="00534B2E"/>
    <w:rsid w:val="00550075"/>
    <w:rsid w:val="005621A6"/>
    <w:rsid w:val="00562E71"/>
    <w:rsid w:val="00566DA5"/>
    <w:rsid w:val="00575C0B"/>
    <w:rsid w:val="00576EBB"/>
    <w:rsid w:val="005819EF"/>
    <w:rsid w:val="005836E9"/>
    <w:rsid w:val="005A2033"/>
    <w:rsid w:val="005A2783"/>
    <w:rsid w:val="005A68A4"/>
    <w:rsid w:val="005B012A"/>
    <w:rsid w:val="005B12EB"/>
    <w:rsid w:val="005C5316"/>
    <w:rsid w:val="005C5621"/>
    <w:rsid w:val="005C5DD6"/>
    <w:rsid w:val="005C7935"/>
    <w:rsid w:val="005E4578"/>
    <w:rsid w:val="005F06D6"/>
    <w:rsid w:val="005F7A88"/>
    <w:rsid w:val="00610925"/>
    <w:rsid w:val="00614481"/>
    <w:rsid w:val="00621398"/>
    <w:rsid w:val="006261D5"/>
    <w:rsid w:val="0063356E"/>
    <w:rsid w:val="006368BE"/>
    <w:rsid w:val="00643531"/>
    <w:rsid w:val="00666E23"/>
    <w:rsid w:val="00667460"/>
    <w:rsid w:val="0067613B"/>
    <w:rsid w:val="00677A45"/>
    <w:rsid w:val="006831F5"/>
    <w:rsid w:val="00687D2B"/>
    <w:rsid w:val="006968C6"/>
    <w:rsid w:val="006A162C"/>
    <w:rsid w:val="006A195D"/>
    <w:rsid w:val="006A42EA"/>
    <w:rsid w:val="006C0DA8"/>
    <w:rsid w:val="006C410A"/>
    <w:rsid w:val="006C619D"/>
    <w:rsid w:val="006C7E2F"/>
    <w:rsid w:val="006E4A24"/>
    <w:rsid w:val="006E7F41"/>
    <w:rsid w:val="006F49D2"/>
    <w:rsid w:val="007164F7"/>
    <w:rsid w:val="00726B6B"/>
    <w:rsid w:val="007314E6"/>
    <w:rsid w:val="00744ACD"/>
    <w:rsid w:val="00752CE3"/>
    <w:rsid w:val="00756560"/>
    <w:rsid w:val="00765EB1"/>
    <w:rsid w:val="00767ADE"/>
    <w:rsid w:val="0078611B"/>
    <w:rsid w:val="00795CFD"/>
    <w:rsid w:val="007A4B79"/>
    <w:rsid w:val="007B368F"/>
    <w:rsid w:val="007C18BD"/>
    <w:rsid w:val="007D302C"/>
    <w:rsid w:val="007D334B"/>
    <w:rsid w:val="007D54C0"/>
    <w:rsid w:val="007E1AB0"/>
    <w:rsid w:val="007E1CA2"/>
    <w:rsid w:val="007F44FC"/>
    <w:rsid w:val="00823611"/>
    <w:rsid w:val="008248EE"/>
    <w:rsid w:val="00834D8A"/>
    <w:rsid w:val="008357B5"/>
    <w:rsid w:val="00842891"/>
    <w:rsid w:val="00843BD9"/>
    <w:rsid w:val="00847C51"/>
    <w:rsid w:val="0085242A"/>
    <w:rsid w:val="0085631B"/>
    <w:rsid w:val="00862CF1"/>
    <w:rsid w:val="00865B7F"/>
    <w:rsid w:val="00866B48"/>
    <w:rsid w:val="00867BD9"/>
    <w:rsid w:val="0087509A"/>
    <w:rsid w:val="00883CB1"/>
    <w:rsid w:val="008848AD"/>
    <w:rsid w:val="00894A71"/>
    <w:rsid w:val="00895159"/>
    <w:rsid w:val="008A14ED"/>
    <w:rsid w:val="008C133A"/>
    <w:rsid w:val="008D22C7"/>
    <w:rsid w:val="008D25CD"/>
    <w:rsid w:val="008D3E62"/>
    <w:rsid w:val="008E7295"/>
    <w:rsid w:val="008E7568"/>
    <w:rsid w:val="008F302A"/>
    <w:rsid w:val="00901E85"/>
    <w:rsid w:val="00906B6E"/>
    <w:rsid w:val="009154A8"/>
    <w:rsid w:val="00915D47"/>
    <w:rsid w:val="00916B2D"/>
    <w:rsid w:val="00921EE7"/>
    <w:rsid w:val="00926B6A"/>
    <w:rsid w:val="00933EA0"/>
    <w:rsid w:val="009505C9"/>
    <w:rsid w:val="00951BF2"/>
    <w:rsid w:val="00963D9E"/>
    <w:rsid w:val="00983940"/>
    <w:rsid w:val="009860F6"/>
    <w:rsid w:val="00986946"/>
    <w:rsid w:val="0099508A"/>
    <w:rsid w:val="009959AE"/>
    <w:rsid w:val="009A23D0"/>
    <w:rsid w:val="009A3915"/>
    <w:rsid w:val="009B7B66"/>
    <w:rsid w:val="009C3217"/>
    <w:rsid w:val="009C6CEC"/>
    <w:rsid w:val="009C7E5B"/>
    <w:rsid w:val="009D0C61"/>
    <w:rsid w:val="009D257A"/>
    <w:rsid w:val="009E46CF"/>
    <w:rsid w:val="009E5656"/>
    <w:rsid w:val="009F524D"/>
    <w:rsid w:val="009F78DD"/>
    <w:rsid w:val="00A04ADB"/>
    <w:rsid w:val="00A07C9D"/>
    <w:rsid w:val="00A22365"/>
    <w:rsid w:val="00A34D9E"/>
    <w:rsid w:val="00A35302"/>
    <w:rsid w:val="00A42321"/>
    <w:rsid w:val="00A4364F"/>
    <w:rsid w:val="00A553F7"/>
    <w:rsid w:val="00A63271"/>
    <w:rsid w:val="00A646FF"/>
    <w:rsid w:val="00A72E6E"/>
    <w:rsid w:val="00A81659"/>
    <w:rsid w:val="00A826F4"/>
    <w:rsid w:val="00A84460"/>
    <w:rsid w:val="00A8630A"/>
    <w:rsid w:val="00A901E8"/>
    <w:rsid w:val="00A90B60"/>
    <w:rsid w:val="00AA0055"/>
    <w:rsid w:val="00AA11AE"/>
    <w:rsid w:val="00AB1AAA"/>
    <w:rsid w:val="00AB72C7"/>
    <w:rsid w:val="00AC47A6"/>
    <w:rsid w:val="00AC6202"/>
    <w:rsid w:val="00AD3A10"/>
    <w:rsid w:val="00AE6B96"/>
    <w:rsid w:val="00AE7ADC"/>
    <w:rsid w:val="00AF086D"/>
    <w:rsid w:val="00AF27AD"/>
    <w:rsid w:val="00AF56DC"/>
    <w:rsid w:val="00B02D05"/>
    <w:rsid w:val="00B0443C"/>
    <w:rsid w:val="00B173B0"/>
    <w:rsid w:val="00B244C6"/>
    <w:rsid w:val="00B25A3A"/>
    <w:rsid w:val="00B352E1"/>
    <w:rsid w:val="00B408D6"/>
    <w:rsid w:val="00B53105"/>
    <w:rsid w:val="00B572AB"/>
    <w:rsid w:val="00B57978"/>
    <w:rsid w:val="00B57E25"/>
    <w:rsid w:val="00B67A12"/>
    <w:rsid w:val="00B754B0"/>
    <w:rsid w:val="00B768A1"/>
    <w:rsid w:val="00B80FA2"/>
    <w:rsid w:val="00B93F08"/>
    <w:rsid w:val="00B9642E"/>
    <w:rsid w:val="00BB4558"/>
    <w:rsid w:val="00BC0AA0"/>
    <w:rsid w:val="00BC176C"/>
    <w:rsid w:val="00BD1518"/>
    <w:rsid w:val="00BD2996"/>
    <w:rsid w:val="00BD33C9"/>
    <w:rsid w:val="00BD7634"/>
    <w:rsid w:val="00BF74F1"/>
    <w:rsid w:val="00C01D9F"/>
    <w:rsid w:val="00C04AA6"/>
    <w:rsid w:val="00C0699F"/>
    <w:rsid w:val="00C06E1E"/>
    <w:rsid w:val="00C12425"/>
    <w:rsid w:val="00C14274"/>
    <w:rsid w:val="00C15E00"/>
    <w:rsid w:val="00C25834"/>
    <w:rsid w:val="00C35B7D"/>
    <w:rsid w:val="00C46BF9"/>
    <w:rsid w:val="00C574C4"/>
    <w:rsid w:val="00C64681"/>
    <w:rsid w:val="00C74DE8"/>
    <w:rsid w:val="00C92053"/>
    <w:rsid w:val="00C94B88"/>
    <w:rsid w:val="00C97925"/>
    <w:rsid w:val="00CA67B0"/>
    <w:rsid w:val="00CA7BF0"/>
    <w:rsid w:val="00CB1413"/>
    <w:rsid w:val="00CB1FC1"/>
    <w:rsid w:val="00CB7F6E"/>
    <w:rsid w:val="00CC0BED"/>
    <w:rsid w:val="00CC1D7A"/>
    <w:rsid w:val="00CC68B9"/>
    <w:rsid w:val="00CD3D70"/>
    <w:rsid w:val="00CE025C"/>
    <w:rsid w:val="00CE0AE6"/>
    <w:rsid w:val="00CE4C08"/>
    <w:rsid w:val="00CF38AC"/>
    <w:rsid w:val="00D05E7F"/>
    <w:rsid w:val="00D06B17"/>
    <w:rsid w:val="00D07013"/>
    <w:rsid w:val="00D11F6E"/>
    <w:rsid w:val="00D23583"/>
    <w:rsid w:val="00D33ED8"/>
    <w:rsid w:val="00D402FF"/>
    <w:rsid w:val="00D40AAD"/>
    <w:rsid w:val="00D40AEC"/>
    <w:rsid w:val="00D40D3B"/>
    <w:rsid w:val="00D51DEA"/>
    <w:rsid w:val="00D55CDA"/>
    <w:rsid w:val="00D56861"/>
    <w:rsid w:val="00D60F73"/>
    <w:rsid w:val="00D75A98"/>
    <w:rsid w:val="00D77081"/>
    <w:rsid w:val="00D95758"/>
    <w:rsid w:val="00DA2395"/>
    <w:rsid w:val="00DB0167"/>
    <w:rsid w:val="00DB197C"/>
    <w:rsid w:val="00DB3EE1"/>
    <w:rsid w:val="00DC27C9"/>
    <w:rsid w:val="00DC311B"/>
    <w:rsid w:val="00DC4915"/>
    <w:rsid w:val="00DD2E6D"/>
    <w:rsid w:val="00DD30FD"/>
    <w:rsid w:val="00DE3349"/>
    <w:rsid w:val="00DF4DFD"/>
    <w:rsid w:val="00DF5DFA"/>
    <w:rsid w:val="00E036A6"/>
    <w:rsid w:val="00E110FC"/>
    <w:rsid w:val="00E16D83"/>
    <w:rsid w:val="00E22986"/>
    <w:rsid w:val="00E25D62"/>
    <w:rsid w:val="00E323B9"/>
    <w:rsid w:val="00E326AF"/>
    <w:rsid w:val="00E409D7"/>
    <w:rsid w:val="00E4141D"/>
    <w:rsid w:val="00E5295A"/>
    <w:rsid w:val="00E5425E"/>
    <w:rsid w:val="00E562FF"/>
    <w:rsid w:val="00E73BD0"/>
    <w:rsid w:val="00E86C80"/>
    <w:rsid w:val="00E92A03"/>
    <w:rsid w:val="00EA07ED"/>
    <w:rsid w:val="00EA0C98"/>
    <w:rsid w:val="00EA2BB3"/>
    <w:rsid w:val="00EA7D97"/>
    <w:rsid w:val="00EB014F"/>
    <w:rsid w:val="00EB04E5"/>
    <w:rsid w:val="00ED0174"/>
    <w:rsid w:val="00ED2C1A"/>
    <w:rsid w:val="00ED748A"/>
    <w:rsid w:val="00EE74A4"/>
    <w:rsid w:val="00EF4274"/>
    <w:rsid w:val="00EF5514"/>
    <w:rsid w:val="00F023E7"/>
    <w:rsid w:val="00F05DB8"/>
    <w:rsid w:val="00F10021"/>
    <w:rsid w:val="00F12D7E"/>
    <w:rsid w:val="00F25909"/>
    <w:rsid w:val="00F271C9"/>
    <w:rsid w:val="00F3125D"/>
    <w:rsid w:val="00F355D8"/>
    <w:rsid w:val="00F44EC1"/>
    <w:rsid w:val="00F47166"/>
    <w:rsid w:val="00F47303"/>
    <w:rsid w:val="00F4734D"/>
    <w:rsid w:val="00F5057C"/>
    <w:rsid w:val="00F51C2C"/>
    <w:rsid w:val="00F6216D"/>
    <w:rsid w:val="00F678AF"/>
    <w:rsid w:val="00F80D2C"/>
    <w:rsid w:val="00F86C54"/>
    <w:rsid w:val="00F92273"/>
    <w:rsid w:val="00F92C44"/>
    <w:rsid w:val="00F93F04"/>
    <w:rsid w:val="00F94F2E"/>
    <w:rsid w:val="00F97322"/>
    <w:rsid w:val="00FB0AE7"/>
    <w:rsid w:val="00FB1C88"/>
    <w:rsid w:val="00FB658B"/>
    <w:rsid w:val="00FB7782"/>
    <w:rsid w:val="00FB78D7"/>
    <w:rsid w:val="00FC4EE7"/>
    <w:rsid w:val="00FD08E0"/>
    <w:rsid w:val="00FD54E2"/>
    <w:rsid w:val="00FF44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E5925-E7E0-44B4-8E88-2E463322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304"/>
    <w:pPr>
      <w:spacing w:after="120"/>
      <w:jc w:val="both"/>
    </w:pPr>
  </w:style>
  <w:style w:type="paragraph" w:styleId="Heading1">
    <w:name w:val="heading 1"/>
    <w:basedOn w:val="Normal"/>
    <w:next w:val="Normal"/>
    <w:link w:val="Heading1Char"/>
    <w:uiPriority w:val="9"/>
    <w:qFormat/>
    <w:rsid w:val="006368B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368BE"/>
    <w:pPr>
      <w:keepNext/>
      <w:keepLines/>
      <w:spacing w:before="2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50075"/>
    <w:pPr>
      <w:keepNext/>
      <w:keepLines/>
      <w:spacing w:before="2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261D5"/>
    <w:pPr>
      <w:keepNext/>
      <w:keepLines/>
      <w:spacing w:before="2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DD6"/>
    <w:pPr>
      <w:ind w:left="720"/>
      <w:contextualSpacing/>
    </w:pPr>
  </w:style>
  <w:style w:type="paragraph" w:styleId="NormalWeb">
    <w:name w:val="Normal (Web)"/>
    <w:basedOn w:val="Normal"/>
    <w:uiPriority w:val="99"/>
    <w:semiHidden/>
    <w:unhideWhenUsed/>
    <w:rsid w:val="00795CFD"/>
    <w:pPr>
      <w:spacing w:before="100" w:beforeAutospacing="1" w:after="100" w:afterAutospacing="1" w:line="240" w:lineRule="auto"/>
    </w:pPr>
    <w:rPr>
      <w:rFonts w:ascii="Times New Roman" w:eastAsiaTheme="minorEastAsia" w:hAnsi="Times New Roman" w:cs="Times New Roman"/>
      <w:sz w:val="24"/>
      <w:szCs w:val="24"/>
      <w:lang w:eastAsia="en-CA"/>
    </w:rPr>
  </w:style>
  <w:style w:type="paragraph" w:styleId="BalloonText">
    <w:name w:val="Balloon Text"/>
    <w:basedOn w:val="Normal"/>
    <w:link w:val="BalloonTextChar"/>
    <w:uiPriority w:val="99"/>
    <w:semiHidden/>
    <w:unhideWhenUsed/>
    <w:rsid w:val="00242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C78"/>
    <w:rPr>
      <w:rFonts w:ascii="Tahoma" w:hAnsi="Tahoma" w:cs="Tahoma"/>
      <w:sz w:val="16"/>
      <w:szCs w:val="16"/>
    </w:rPr>
  </w:style>
  <w:style w:type="character" w:styleId="PlaceholderText">
    <w:name w:val="Placeholder Text"/>
    <w:basedOn w:val="DefaultParagraphFont"/>
    <w:uiPriority w:val="99"/>
    <w:semiHidden/>
    <w:rsid w:val="001E68E2"/>
    <w:rPr>
      <w:color w:val="808080"/>
    </w:rPr>
  </w:style>
  <w:style w:type="paragraph" w:styleId="FootnoteText">
    <w:name w:val="footnote text"/>
    <w:basedOn w:val="Normal"/>
    <w:link w:val="FootnoteTextChar"/>
    <w:uiPriority w:val="99"/>
    <w:semiHidden/>
    <w:unhideWhenUsed/>
    <w:rsid w:val="00FB65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658B"/>
    <w:rPr>
      <w:sz w:val="20"/>
      <w:szCs w:val="20"/>
    </w:rPr>
  </w:style>
  <w:style w:type="character" w:styleId="FootnoteReference">
    <w:name w:val="footnote reference"/>
    <w:basedOn w:val="DefaultParagraphFont"/>
    <w:uiPriority w:val="99"/>
    <w:semiHidden/>
    <w:unhideWhenUsed/>
    <w:rsid w:val="00FB658B"/>
    <w:rPr>
      <w:vertAlign w:val="superscript"/>
    </w:rPr>
  </w:style>
  <w:style w:type="table" w:styleId="TableGrid">
    <w:name w:val="Table Grid"/>
    <w:basedOn w:val="TableNormal"/>
    <w:uiPriority w:val="59"/>
    <w:rsid w:val="00915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368B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368B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50075"/>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5326DB"/>
    <w:pPr>
      <w:spacing w:after="0" w:line="240" w:lineRule="auto"/>
      <w:jc w:val="both"/>
    </w:pPr>
  </w:style>
  <w:style w:type="character" w:customStyle="1" w:styleId="Heading4Char">
    <w:name w:val="Heading 4 Char"/>
    <w:basedOn w:val="DefaultParagraphFont"/>
    <w:link w:val="Heading4"/>
    <w:uiPriority w:val="9"/>
    <w:semiHidden/>
    <w:rsid w:val="006261D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196222">
      <w:bodyDiv w:val="1"/>
      <w:marLeft w:val="0"/>
      <w:marRight w:val="0"/>
      <w:marTop w:val="0"/>
      <w:marBottom w:val="0"/>
      <w:divBdr>
        <w:top w:val="none" w:sz="0" w:space="0" w:color="auto"/>
        <w:left w:val="none" w:sz="0" w:space="0" w:color="auto"/>
        <w:bottom w:val="none" w:sz="0" w:space="0" w:color="auto"/>
        <w:right w:val="none" w:sz="0" w:space="0" w:color="auto"/>
      </w:divBdr>
    </w:div>
    <w:div w:id="184257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2E8E7-DB1C-4169-8CF0-1EA49FC5A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8426</TotalTime>
  <Pages>14</Pages>
  <Words>5462</Words>
  <Characters>31138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36527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Rybakov</dc:creator>
  <cp:keywords/>
  <dc:description/>
  <cp:lastModifiedBy>Konstantin Rybakov</cp:lastModifiedBy>
  <cp:revision>411</cp:revision>
  <cp:lastPrinted>2014-01-30T23:38:00Z</cp:lastPrinted>
  <dcterms:created xsi:type="dcterms:W3CDTF">2014-01-02T16:07:00Z</dcterms:created>
  <dcterms:modified xsi:type="dcterms:W3CDTF">2017-12-21T20:21:00Z</dcterms:modified>
</cp:coreProperties>
</file>