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E76" w:rsidRPr="00CF7E76" w:rsidRDefault="00CF7E76" w:rsidP="00CF7E76">
      <w:pPr>
        <w:pStyle w:val="IFRS9Text"/>
        <w:spacing w:line="240" w:lineRule="atLeast"/>
        <w:ind w:left="142"/>
        <w:jc w:val="left"/>
        <w:rPr>
          <w:rFonts w:ascii="Arial" w:hAnsi="Arial" w:cs="Arial"/>
          <w:b/>
          <w:lang w:val="en-CA"/>
        </w:rPr>
      </w:pPr>
      <w:r w:rsidRPr="00CF7E76">
        <w:rPr>
          <w:rFonts w:ascii="Arial" w:hAnsi="Arial" w:cs="Arial"/>
          <w:b/>
          <w:sz w:val="22"/>
          <w:lang w:val="en-CA"/>
        </w:rPr>
        <w:t>Estimation of yield rate term structure using Nelson-Siegel family of parametrized curves</w:t>
      </w:r>
    </w:p>
    <w:p w:rsidR="00B45C1B" w:rsidRPr="00D02BAF" w:rsidRDefault="00B45C1B" w:rsidP="00B45C1B">
      <w:pPr>
        <w:pStyle w:val="IFRS9Text"/>
        <w:spacing w:line="240" w:lineRule="atLeast"/>
        <w:ind w:left="142"/>
        <w:rPr>
          <w:rFonts w:ascii="Arial" w:hAnsi="Arial" w:cs="Arial"/>
          <w:lang w:val="en-CA"/>
        </w:rPr>
      </w:pPr>
      <w:r w:rsidRPr="00D02BAF">
        <w:rPr>
          <w:rFonts w:ascii="Arial" w:hAnsi="Arial" w:cs="Arial"/>
          <w:lang w:val="en-CA"/>
        </w:rPr>
        <w:t>The term structure of interest rates is the relationship between interest rates or bond yields and different terms or maturities. The term structure of interest rates is also known as a yield curve. Yield curves are usually upward sloping asymptotically: the longer the maturity, the higher the yield, with diminishing marginal increases. There are two common explanations for upward sloping yield curves. First, it may be that the market is anticipating a rise in the risk-free rate. Another explanation is that longer maturities entail greater risks for the investor and therefore investors demand a higher risk premium to invest in long-term bond instruments.</w:t>
      </w:r>
    </w:p>
    <w:p w:rsidR="0004665E" w:rsidRPr="00D02BAF" w:rsidRDefault="0007576F" w:rsidP="00B45C1B">
      <w:pPr>
        <w:pStyle w:val="IFRS9Text"/>
        <w:spacing w:line="240" w:lineRule="atLeast"/>
        <w:ind w:left="142"/>
        <w:rPr>
          <w:rFonts w:ascii="Arial" w:hAnsi="Arial" w:cs="Arial"/>
          <w:lang w:val="en-CA"/>
        </w:rPr>
      </w:pPr>
      <w:r w:rsidRPr="00D02BAF">
        <w:rPr>
          <w:rFonts w:ascii="Arial" w:hAnsi="Arial" w:cs="Arial"/>
          <w:lang w:val="en-CA"/>
        </w:rPr>
        <w:t xml:space="preserve">Yield curves are built from either prices available in the bond market or the money market. The yield curves built from the bond market use prices only from a specific class of bonds (for instance US </w:t>
      </w:r>
      <w:r w:rsidR="00A276CB" w:rsidRPr="00D02BAF">
        <w:rPr>
          <w:rFonts w:ascii="Arial" w:hAnsi="Arial" w:cs="Arial"/>
          <w:lang w:val="en-CA"/>
        </w:rPr>
        <w:t>Treasury bonds</w:t>
      </w:r>
      <w:r w:rsidRPr="00D02BAF">
        <w:rPr>
          <w:rFonts w:ascii="Arial" w:hAnsi="Arial" w:cs="Arial"/>
          <w:lang w:val="en-CA"/>
        </w:rPr>
        <w:t xml:space="preserve"> or US corporate bonds with a given consensus credit rating).</w:t>
      </w:r>
      <w:r w:rsidR="00A276CB" w:rsidRPr="00D02BAF">
        <w:rPr>
          <w:rFonts w:ascii="Arial" w:hAnsi="Arial" w:cs="Arial"/>
          <w:lang w:val="en-CA"/>
        </w:rPr>
        <w:t xml:space="preserve"> A standard approach to estimate yield curves is to approximate the bond yield data using parameterised curves (such as splines, the Nelson-Siegel family, the Svensson family, or the Cairns restricted-exponential family of curves).</w:t>
      </w:r>
    </w:p>
    <w:p w:rsidR="00784DEE" w:rsidRPr="00D02BAF" w:rsidRDefault="003F4D48" w:rsidP="00B45C1B">
      <w:pPr>
        <w:pStyle w:val="IFRS9Text"/>
        <w:spacing w:line="240" w:lineRule="atLeast"/>
        <w:ind w:left="142"/>
        <w:rPr>
          <w:rFonts w:ascii="Arial" w:hAnsi="Arial" w:cs="Arial"/>
          <w:lang w:val="en-CA"/>
        </w:rPr>
      </w:pPr>
      <w:r w:rsidRPr="00D02BAF">
        <w:rPr>
          <w:rFonts w:ascii="Arial" w:hAnsi="Arial" w:cs="Arial"/>
          <w:lang w:val="en-CA"/>
        </w:rPr>
        <w:t xml:space="preserve">The yield curve estimation based on Nelson-Siegel </w:t>
      </w:r>
      <w:r w:rsidR="009B7501" w:rsidRPr="00D02BAF">
        <w:rPr>
          <w:rFonts w:ascii="Arial" w:hAnsi="Arial" w:cs="Arial"/>
          <w:lang w:val="en-CA"/>
        </w:rPr>
        <w:t>family of</w:t>
      </w:r>
      <w:r w:rsidRPr="00D02BAF">
        <w:rPr>
          <w:rFonts w:ascii="Arial" w:hAnsi="Arial" w:cs="Arial"/>
          <w:lang w:val="en-CA"/>
        </w:rPr>
        <w:t xml:space="preserve"> parametrized curves is a traditional approach to term structure modeling in the financial industry.</w:t>
      </w:r>
      <w:r w:rsidR="009B7501" w:rsidRPr="00D02BAF">
        <w:rPr>
          <w:rStyle w:val="FootnoteReference"/>
          <w:rFonts w:ascii="Arial" w:hAnsi="Arial" w:cs="Arial"/>
          <w:lang w:val="en-CA"/>
        </w:rPr>
        <w:footnoteReference w:id="1"/>
      </w:r>
      <w:r w:rsidR="00784DEE" w:rsidRPr="00D02BAF">
        <w:rPr>
          <w:rFonts w:ascii="Arial" w:hAnsi="Arial" w:cs="Arial"/>
          <w:lang w:val="en-CA"/>
        </w:rPr>
        <w:t xml:space="preserve"> </w:t>
      </w:r>
      <w:r w:rsidR="00B45C1B" w:rsidRPr="00D02BAF">
        <w:rPr>
          <w:rFonts w:ascii="Arial" w:hAnsi="Arial" w:cs="Arial"/>
          <w:lang w:val="en-CA"/>
        </w:rPr>
        <w:t xml:space="preserve">Nelson-Siegel term structure model (“NSM”) is a three-factor model, in which the term structure is </w:t>
      </w:r>
      <w:r w:rsidR="00397519" w:rsidRPr="00D02BAF">
        <w:rPr>
          <w:rFonts w:ascii="Arial" w:hAnsi="Arial" w:cs="Arial"/>
          <w:lang w:val="en-CA"/>
        </w:rPr>
        <w:t xml:space="preserve">estimated based on a sample of bond yield data </w:t>
      </w:r>
      <m:oMath>
        <m:d>
          <m:dPr>
            <m:begChr m:val="{"/>
            <m:endChr m:val="}"/>
            <m:ctrlPr>
              <w:rPr>
                <w:rFonts w:ascii="Cambria Math" w:hAnsi="Cambria Math" w:cs="Arial"/>
                <w:i/>
              </w:rPr>
            </m:ctrlPr>
          </m:dPr>
          <m:e>
            <m:sSub>
              <m:sSubPr>
                <m:ctrlPr>
                  <w:rPr>
                    <w:rFonts w:ascii="Cambria Math" w:hAnsi="Cambria Math" w:cs="Arial"/>
                    <w:i/>
                  </w:rPr>
                </m:ctrlPr>
              </m:sSubPr>
              <m:e>
                <m:r>
                  <w:rPr>
                    <w:rFonts w:ascii="Cambria Math" w:hAnsi="Cambria Math" w:cs="Arial"/>
                  </w:rPr>
                  <m:t>y</m:t>
                </m:r>
              </m:e>
              <m:sub>
                <m:r>
                  <w:rPr>
                    <w:rFonts w:ascii="Cambria Math" w:hAnsi="Cambria Math" w:cs="Arial"/>
                  </w:rPr>
                  <m:t>i</m:t>
                </m:r>
              </m:sub>
            </m:sSub>
          </m:e>
        </m:d>
      </m:oMath>
      <w:r w:rsidR="00397519" w:rsidRPr="00D02BAF">
        <w:rPr>
          <w:rFonts w:ascii="Arial" w:hAnsi="Arial" w:cs="Arial"/>
        </w:rPr>
        <w:t xml:space="preserve"> and is </w:t>
      </w:r>
      <w:r w:rsidR="00B45C1B" w:rsidRPr="00D02BAF">
        <w:rPr>
          <w:rFonts w:ascii="Arial" w:hAnsi="Arial" w:cs="Arial"/>
          <w:lang w:val="en-CA"/>
        </w:rPr>
        <w:t xml:space="preserve">described by </w:t>
      </w:r>
      <w:r w:rsidR="00E30F5C" w:rsidRPr="00D02BAF">
        <w:rPr>
          <w:rFonts w:ascii="Arial" w:hAnsi="Arial" w:cs="Arial"/>
          <w:lang w:val="en-CA"/>
        </w:rPr>
        <w:t>the following equation</w:t>
      </w:r>
      <w:r w:rsidR="00F1258A" w:rsidRPr="00D02BAF">
        <w:rPr>
          <w:rFonts w:ascii="Arial" w:hAnsi="Arial" w:cs="Arial"/>
          <w:lang w:val="en-CA"/>
        </w:rPr>
        <w:t>:</w:t>
      </w:r>
      <w:r w:rsidR="00B45C1B" w:rsidRPr="00D02BAF">
        <w:rPr>
          <w:rFonts w:ascii="Arial" w:hAnsi="Arial" w:cs="Arial"/>
          <w:lang w:val="en-CA"/>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1"/>
        <w:gridCol w:w="699"/>
      </w:tblGrid>
      <w:tr w:rsidR="00784DEE" w:rsidRPr="00D02BAF" w:rsidTr="004B4B45">
        <w:tc>
          <w:tcPr>
            <w:tcW w:w="8064" w:type="dxa"/>
            <w:vAlign w:val="center"/>
          </w:tcPr>
          <w:p w:rsidR="00784DEE" w:rsidRPr="00D02BAF" w:rsidRDefault="00015ED7" w:rsidP="004B4B45">
            <w:pPr>
              <w:pStyle w:val="IFRS9Text"/>
              <w:spacing w:line="240" w:lineRule="atLeast"/>
              <w:ind w:left="142"/>
              <w:rPr>
                <w:rFonts w:ascii="Arial" w:hAnsi="Arial" w:cs="Arial"/>
                <w:lang w:val="en-CA"/>
              </w:rPr>
            </w:pPr>
            <m:oMathPara>
              <m:oMath>
                <m:sSub>
                  <m:sSubPr>
                    <m:ctrlPr>
                      <w:rPr>
                        <w:rFonts w:ascii="Cambria Math" w:hAnsi="Cambria Math" w:cs="Arial"/>
                        <w:i/>
                      </w:rPr>
                    </m:ctrlPr>
                  </m:sSubPr>
                  <m:e>
                    <m:r>
                      <w:rPr>
                        <w:rFonts w:ascii="Cambria Math" w:hAnsi="Cambria Math" w:cs="Arial"/>
                      </w:rPr>
                      <m:t>y</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f</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f</m:t>
                    </m:r>
                  </m:e>
                  <m:sub>
                    <m:r>
                      <w:rPr>
                        <w:rFonts w:ascii="Cambria Math" w:hAnsi="Cambria Math" w:cs="Arial"/>
                      </w:rPr>
                      <m:t>2</m:t>
                    </m:r>
                  </m:sub>
                </m:sSub>
                <m:d>
                  <m:dPr>
                    <m:ctrlPr>
                      <w:rPr>
                        <w:rFonts w:ascii="Cambria Math" w:hAnsi="Cambria Math" w:cs="Arial"/>
                        <w:i/>
                      </w:rPr>
                    </m:ctrlPr>
                  </m:dPr>
                  <m:e>
                    <m:f>
                      <m:fPr>
                        <m:ctrlPr>
                          <w:rPr>
                            <w:rFonts w:ascii="Cambria Math" w:hAnsi="Cambria Math" w:cs="Arial"/>
                            <w:i/>
                          </w:rPr>
                        </m:ctrlPr>
                      </m:fPr>
                      <m:num>
                        <m:r>
                          <w:rPr>
                            <w:rFonts w:ascii="Cambria Math" w:hAnsi="Cambria Math" w:cs="Arial"/>
                          </w:rPr>
                          <m:t>1-</m:t>
                        </m:r>
                        <m:sSup>
                          <m:sSupPr>
                            <m:ctrlPr>
                              <w:rPr>
                                <w:rFonts w:ascii="Cambria Math" w:hAnsi="Cambria Math" w:cs="Arial"/>
                                <w:i/>
                              </w:rPr>
                            </m:ctrlPr>
                          </m:sSupPr>
                          <m:e>
                            <m:r>
                              <w:rPr>
                                <w:rFonts w:ascii="Cambria Math" w:hAnsi="Cambria Math" w:cs="Arial"/>
                              </w:rPr>
                              <m:t>e</m:t>
                            </m:r>
                          </m:e>
                          <m:sup>
                            <m:r>
                              <w:rPr>
                                <w:rFonts w:ascii="Cambria Math" w:hAnsi="Cambria Math" w:cs="Arial"/>
                              </w:rPr>
                              <m:t>-α</m:t>
                            </m:r>
                            <m:sSub>
                              <m:sSubPr>
                                <m:ctrlPr>
                                  <w:rPr>
                                    <w:rFonts w:ascii="Cambria Math" w:hAnsi="Cambria Math" w:cs="Arial"/>
                                    <w:i/>
                                  </w:rPr>
                                </m:ctrlPr>
                              </m:sSubPr>
                              <m:e>
                                <m:r>
                                  <w:rPr>
                                    <w:rFonts w:ascii="Cambria Math" w:hAnsi="Cambria Math" w:cs="Arial"/>
                                  </w:rPr>
                                  <m:t>τ</m:t>
                                </m:r>
                              </m:e>
                              <m:sub>
                                <m:r>
                                  <w:rPr>
                                    <w:rFonts w:ascii="Cambria Math" w:hAnsi="Cambria Math" w:cs="Arial"/>
                                  </w:rPr>
                                  <m:t>i</m:t>
                                </m:r>
                              </m:sub>
                            </m:sSub>
                          </m:sup>
                        </m:sSup>
                      </m:num>
                      <m:den>
                        <m:r>
                          <w:rPr>
                            <w:rFonts w:ascii="Cambria Math" w:hAnsi="Cambria Math" w:cs="Arial"/>
                          </w:rPr>
                          <m:t>α</m:t>
                        </m:r>
                        <m:sSub>
                          <m:sSubPr>
                            <m:ctrlPr>
                              <w:rPr>
                                <w:rFonts w:ascii="Cambria Math" w:hAnsi="Cambria Math" w:cs="Arial"/>
                                <w:i/>
                              </w:rPr>
                            </m:ctrlPr>
                          </m:sSubPr>
                          <m:e>
                            <m:r>
                              <w:rPr>
                                <w:rFonts w:ascii="Cambria Math" w:hAnsi="Cambria Math" w:cs="Arial"/>
                              </w:rPr>
                              <m:t>τ</m:t>
                            </m:r>
                          </m:e>
                          <m:sub>
                            <m:r>
                              <w:rPr>
                                <w:rFonts w:ascii="Cambria Math" w:hAnsi="Cambria Math" w:cs="Arial"/>
                              </w:rPr>
                              <m:t>i</m:t>
                            </m:r>
                          </m:sub>
                        </m:sSub>
                      </m:den>
                    </m:f>
                  </m:e>
                </m:d>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f</m:t>
                    </m:r>
                  </m:e>
                  <m:sub>
                    <m:r>
                      <w:rPr>
                        <w:rFonts w:ascii="Cambria Math" w:eastAsiaTheme="minorEastAsia" w:hAnsi="Cambria Math" w:cs="Arial"/>
                      </w:rPr>
                      <m:t>3</m:t>
                    </m:r>
                  </m:sub>
                </m:sSub>
                <m:d>
                  <m:dPr>
                    <m:ctrlPr>
                      <w:rPr>
                        <w:rFonts w:ascii="Cambria Math" w:eastAsiaTheme="minorEastAsia" w:hAnsi="Cambria Math" w:cs="Arial"/>
                        <w:i/>
                      </w:rPr>
                    </m:ctrlPr>
                  </m:dPr>
                  <m:e>
                    <m:f>
                      <m:fPr>
                        <m:ctrlPr>
                          <w:rPr>
                            <w:rFonts w:ascii="Cambria Math" w:hAnsi="Cambria Math" w:cs="Arial"/>
                            <w:i/>
                          </w:rPr>
                        </m:ctrlPr>
                      </m:fPr>
                      <m:num>
                        <m:r>
                          <w:rPr>
                            <w:rFonts w:ascii="Cambria Math" w:hAnsi="Cambria Math" w:cs="Arial"/>
                          </w:rPr>
                          <m:t>1-</m:t>
                        </m:r>
                        <m:sSup>
                          <m:sSupPr>
                            <m:ctrlPr>
                              <w:rPr>
                                <w:rFonts w:ascii="Cambria Math" w:hAnsi="Cambria Math" w:cs="Arial"/>
                                <w:i/>
                              </w:rPr>
                            </m:ctrlPr>
                          </m:sSupPr>
                          <m:e>
                            <m:r>
                              <w:rPr>
                                <w:rFonts w:ascii="Cambria Math" w:hAnsi="Cambria Math" w:cs="Arial"/>
                              </w:rPr>
                              <m:t>e</m:t>
                            </m:r>
                          </m:e>
                          <m:sup>
                            <m:r>
                              <w:rPr>
                                <w:rFonts w:ascii="Cambria Math" w:hAnsi="Cambria Math" w:cs="Arial"/>
                              </w:rPr>
                              <m:t>-α</m:t>
                            </m:r>
                            <m:sSub>
                              <m:sSubPr>
                                <m:ctrlPr>
                                  <w:rPr>
                                    <w:rFonts w:ascii="Cambria Math" w:hAnsi="Cambria Math" w:cs="Arial"/>
                                    <w:i/>
                                  </w:rPr>
                                </m:ctrlPr>
                              </m:sSubPr>
                              <m:e>
                                <m:r>
                                  <w:rPr>
                                    <w:rFonts w:ascii="Cambria Math" w:hAnsi="Cambria Math" w:cs="Arial"/>
                                  </w:rPr>
                                  <m:t>τ</m:t>
                                </m:r>
                              </m:e>
                              <m:sub>
                                <m:r>
                                  <w:rPr>
                                    <w:rFonts w:ascii="Cambria Math" w:hAnsi="Cambria Math" w:cs="Arial"/>
                                  </w:rPr>
                                  <m:t>i</m:t>
                                </m:r>
                              </m:sub>
                            </m:sSub>
                          </m:sup>
                        </m:sSup>
                      </m:num>
                      <m:den>
                        <m:r>
                          <w:rPr>
                            <w:rFonts w:ascii="Cambria Math" w:hAnsi="Cambria Math" w:cs="Arial"/>
                          </w:rPr>
                          <m:t>α</m:t>
                        </m:r>
                        <m:sSub>
                          <m:sSubPr>
                            <m:ctrlPr>
                              <w:rPr>
                                <w:rFonts w:ascii="Cambria Math" w:hAnsi="Cambria Math" w:cs="Arial"/>
                                <w:i/>
                              </w:rPr>
                            </m:ctrlPr>
                          </m:sSubPr>
                          <m:e>
                            <m:r>
                              <w:rPr>
                                <w:rFonts w:ascii="Cambria Math" w:hAnsi="Cambria Math" w:cs="Arial"/>
                              </w:rPr>
                              <m:t>τ</m:t>
                            </m:r>
                          </m:e>
                          <m:sub>
                            <m:r>
                              <w:rPr>
                                <w:rFonts w:ascii="Cambria Math" w:hAnsi="Cambria Math" w:cs="Arial"/>
                              </w:rPr>
                              <m:t>i</m:t>
                            </m:r>
                          </m:sub>
                        </m:sSub>
                      </m:den>
                    </m:f>
                    <m:r>
                      <w:rPr>
                        <w:rFonts w:ascii="Cambria Math" w:hAnsi="Cambria Math" w:cs="Arial"/>
                      </w:rPr>
                      <m:t>-</m:t>
                    </m:r>
                    <m:sSup>
                      <m:sSupPr>
                        <m:ctrlPr>
                          <w:rPr>
                            <w:rFonts w:ascii="Cambria Math" w:hAnsi="Cambria Math" w:cs="Arial"/>
                            <w:i/>
                          </w:rPr>
                        </m:ctrlPr>
                      </m:sSupPr>
                      <m:e>
                        <m:r>
                          <w:rPr>
                            <w:rFonts w:ascii="Cambria Math" w:hAnsi="Cambria Math" w:cs="Arial"/>
                          </w:rPr>
                          <m:t>e</m:t>
                        </m:r>
                      </m:e>
                      <m:sup>
                        <m:r>
                          <w:rPr>
                            <w:rFonts w:ascii="Cambria Math" w:hAnsi="Cambria Math" w:cs="Arial"/>
                          </w:rPr>
                          <m:t>-α</m:t>
                        </m:r>
                        <m:sSub>
                          <m:sSubPr>
                            <m:ctrlPr>
                              <w:rPr>
                                <w:rFonts w:ascii="Cambria Math" w:hAnsi="Cambria Math" w:cs="Arial"/>
                                <w:i/>
                              </w:rPr>
                            </m:ctrlPr>
                          </m:sSubPr>
                          <m:e>
                            <m:r>
                              <w:rPr>
                                <w:rFonts w:ascii="Cambria Math" w:hAnsi="Cambria Math" w:cs="Arial"/>
                              </w:rPr>
                              <m:t>τ</m:t>
                            </m:r>
                          </m:e>
                          <m:sub>
                            <m:r>
                              <w:rPr>
                                <w:rFonts w:ascii="Cambria Math" w:hAnsi="Cambria Math" w:cs="Arial"/>
                              </w:rPr>
                              <m:t>i</m:t>
                            </m:r>
                          </m:sub>
                        </m:sSub>
                      </m:sup>
                    </m:sSup>
                  </m:e>
                </m:d>
                <m:r>
                  <w:rPr>
                    <w:rFonts w:ascii="Cambria Math" w:eastAsiaTheme="minorEastAsia" w:hAnsi="Cambria Math" w:cs="Arial"/>
                  </w:rPr>
                  <m:t>+</m:t>
                </m:r>
                <m:sSub>
                  <m:sSubPr>
                    <m:ctrlPr>
                      <w:rPr>
                        <w:rFonts w:ascii="Cambria Math" w:hAnsi="Cambria Math" w:cs="Arial"/>
                        <w:i/>
                      </w:rPr>
                    </m:ctrlPr>
                  </m:sSubPr>
                  <m:e>
                    <m:r>
                      <w:rPr>
                        <w:rFonts w:ascii="Cambria Math" w:hAnsi="Cambria Math" w:cs="Arial"/>
                      </w:rPr>
                      <m:t>ε</m:t>
                    </m:r>
                  </m:e>
                  <m:sub>
                    <m:r>
                      <w:rPr>
                        <w:rFonts w:ascii="Cambria Math" w:hAnsi="Cambria Math" w:cs="Arial"/>
                      </w:rPr>
                      <m:t>i</m:t>
                    </m:r>
                  </m:sub>
                </m:sSub>
              </m:oMath>
            </m:oMathPara>
          </w:p>
        </w:tc>
        <w:tc>
          <w:tcPr>
            <w:tcW w:w="566" w:type="dxa"/>
            <w:vAlign w:val="center"/>
          </w:tcPr>
          <w:p w:rsidR="00784DEE" w:rsidRPr="00D02BAF" w:rsidRDefault="00784DEE" w:rsidP="004B4B45">
            <w:pPr>
              <w:pStyle w:val="IFRS9Text"/>
              <w:spacing w:line="240" w:lineRule="atLeast"/>
              <w:ind w:left="142"/>
              <w:rPr>
                <w:rFonts w:ascii="Arial" w:hAnsi="Arial" w:cs="Arial"/>
                <w:lang w:val="en-CA"/>
              </w:rPr>
            </w:pPr>
            <w:r w:rsidRPr="00D02BAF">
              <w:rPr>
                <w:rFonts w:ascii="Arial" w:hAnsi="Arial" w:cs="Arial"/>
                <w:lang w:val="en-CA"/>
              </w:rPr>
              <w:t>(</w:t>
            </w:r>
            <w:r w:rsidR="0038644F" w:rsidRPr="00D02BAF">
              <w:rPr>
                <w:rFonts w:ascii="Arial" w:hAnsi="Arial" w:cs="Arial"/>
                <w:lang w:val="en-CA"/>
              </w:rPr>
              <w:t>E1</w:t>
            </w:r>
            <w:r w:rsidRPr="00D02BAF">
              <w:rPr>
                <w:rFonts w:ascii="Arial" w:hAnsi="Arial" w:cs="Arial"/>
                <w:lang w:val="en-CA"/>
              </w:rPr>
              <w:t>)</w:t>
            </w:r>
          </w:p>
        </w:tc>
      </w:tr>
    </w:tbl>
    <w:p w:rsidR="00CD2435" w:rsidRPr="00D02BAF" w:rsidRDefault="00CD2435" w:rsidP="00B45C1B">
      <w:pPr>
        <w:pStyle w:val="IFRS9Text"/>
        <w:spacing w:line="240" w:lineRule="atLeast"/>
        <w:ind w:left="142"/>
        <w:rPr>
          <w:rFonts w:ascii="Arial" w:hAnsi="Arial" w:cs="Arial"/>
        </w:rPr>
      </w:pPr>
      <w:r w:rsidRPr="00D02BAF">
        <w:rPr>
          <w:rFonts w:ascii="Arial" w:hAnsi="Arial" w:cs="Arial"/>
          <w:lang w:val="en-CA"/>
        </w:rPr>
        <w:t xml:space="preserve">where </w:t>
      </w:r>
      <m:oMath>
        <m:sSub>
          <m:sSubPr>
            <m:ctrlPr>
              <w:rPr>
                <w:rFonts w:ascii="Cambria Math" w:hAnsi="Cambria Math" w:cs="Arial"/>
                <w:i/>
              </w:rPr>
            </m:ctrlPr>
          </m:sSubPr>
          <m:e>
            <m:r>
              <w:rPr>
                <w:rFonts w:ascii="Cambria Math" w:hAnsi="Cambria Math" w:cs="Arial"/>
              </w:rPr>
              <m:t>y</m:t>
            </m:r>
          </m:e>
          <m:sub>
            <m:r>
              <w:rPr>
                <w:rFonts w:ascii="Cambria Math" w:hAnsi="Cambria Math" w:cs="Arial"/>
              </w:rPr>
              <m:t>i</m:t>
            </m:r>
          </m:sub>
        </m:sSub>
      </m:oMath>
      <w:r w:rsidR="00E56BDB" w:rsidRPr="00D02BAF">
        <w:rPr>
          <w:rFonts w:ascii="Arial" w:hAnsi="Arial" w:cs="Arial"/>
        </w:rPr>
        <w:t xml:space="preserve"> is the yield rate on bond </w:t>
      </w:r>
      <m:oMath>
        <m:r>
          <w:rPr>
            <w:rFonts w:ascii="Cambria Math" w:hAnsi="Cambria Math" w:cs="Arial"/>
          </w:rPr>
          <m:t>i</m:t>
        </m:r>
      </m:oMath>
      <w:r w:rsidR="00E56BDB" w:rsidRPr="00D02BAF">
        <w:rPr>
          <w:rFonts w:ascii="Arial" w:hAnsi="Arial" w:cs="Arial"/>
        </w:rPr>
        <w:t xml:space="preserve"> that has remaining maturity term </w:t>
      </w:r>
      <m:oMath>
        <m:sSub>
          <m:sSubPr>
            <m:ctrlPr>
              <w:rPr>
                <w:rFonts w:ascii="Cambria Math" w:hAnsi="Cambria Math" w:cs="Arial"/>
                <w:i/>
                <w:lang w:eastAsia="fr-CA"/>
              </w:rPr>
            </m:ctrlPr>
          </m:sSubPr>
          <m:e>
            <m:r>
              <w:rPr>
                <w:rFonts w:ascii="Cambria Math" w:hAnsi="Cambria Math" w:cs="Arial"/>
              </w:rPr>
              <m:t>τ</m:t>
            </m:r>
          </m:e>
          <m:sub>
            <m:r>
              <w:rPr>
                <w:rFonts w:ascii="Cambria Math" w:hAnsi="Cambria Math" w:cs="Arial"/>
              </w:rPr>
              <m:t>i</m:t>
            </m:r>
          </m:sub>
        </m:sSub>
      </m:oMath>
      <w:r w:rsidR="00E56BDB" w:rsidRPr="00D02BAF">
        <w:rPr>
          <w:rFonts w:ascii="Arial" w:hAnsi="Arial" w:cs="Arial"/>
        </w:rPr>
        <w:t xml:space="preserve">, </w:t>
      </w:r>
      <m:oMath>
        <m:sSub>
          <m:sSubPr>
            <m:ctrlPr>
              <w:rPr>
                <w:rFonts w:ascii="Cambria Math" w:hAnsi="Cambria Math" w:cs="Arial"/>
                <w:i/>
              </w:rPr>
            </m:ctrlPr>
          </m:sSubPr>
          <m:e>
            <m:r>
              <w:rPr>
                <w:rFonts w:ascii="Cambria Math" w:hAnsi="Cambria Math" w:cs="Arial"/>
              </w:rPr>
              <m:t>f</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f</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f</m:t>
            </m:r>
          </m:e>
          <m:sub>
            <m:r>
              <w:rPr>
                <w:rFonts w:ascii="Cambria Math" w:hAnsi="Cambria Math" w:cs="Arial"/>
              </w:rPr>
              <m:t>3</m:t>
            </m:r>
          </m:sub>
        </m:sSub>
      </m:oMath>
      <w:r w:rsidR="00E56BDB" w:rsidRPr="00D02BAF">
        <w:rPr>
          <w:rFonts w:ascii="Arial" w:hAnsi="Arial" w:cs="Arial"/>
        </w:rPr>
        <w:t xml:space="preserve"> and </w:t>
      </w:r>
      <m:oMath>
        <m:r>
          <w:rPr>
            <w:rFonts w:ascii="Cambria Math" w:hAnsi="Cambria Math" w:cs="Arial"/>
          </w:rPr>
          <m:t>α</m:t>
        </m:r>
      </m:oMath>
      <w:r w:rsidR="00E56BDB" w:rsidRPr="00D02BAF">
        <w:rPr>
          <w:rFonts w:ascii="Arial" w:hAnsi="Arial" w:cs="Arial"/>
        </w:rPr>
        <w:t xml:space="preserve"> are unknown parameters of the </w:t>
      </w:r>
      <w:r w:rsidR="00E56BDB" w:rsidRPr="00D02BAF">
        <w:rPr>
          <w:rFonts w:ascii="Arial" w:hAnsi="Arial" w:cs="Arial"/>
          <w:lang w:val="en-CA"/>
        </w:rPr>
        <w:t xml:space="preserve">Nelson-Siegel family of parametrized curves, and </w:t>
      </w:r>
      <m:oMath>
        <m:sSub>
          <m:sSubPr>
            <m:ctrlPr>
              <w:rPr>
                <w:rFonts w:ascii="Cambria Math" w:hAnsi="Cambria Math" w:cs="Arial"/>
                <w:i/>
              </w:rPr>
            </m:ctrlPr>
          </m:sSubPr>
          <m:e>
            <m:r>
              <w:rPr>
                <w:rFonts w:ascii="Cambria Math" w:hAnsi="Cambria Math" w:cs="Arial"/>
              </w:rPr>
              <m:t>ε</m:t>
            </m:r>
          </m:e>
          <m:sub>
            <m:r>
              <w:rPr>
                <w:rFonts w:ascii="Cambria Math" w:hAnsi="Cambria Math" w:cs="Arial"/>
              </w:rPr>
              <m:t>i</m:t>
            </m:r>
          </m:sub>
        </m:sSub>
      </m:oMath>
      <w:r w:rsidR="00E56BDB" w:rsidRPr="00D02BAF">
        <w:rPr>
          <w:rFonts w:ascii="Arial" w:hAnsi="Arial" w:cs="Arial"/>
        </w:rPr>
        <w:t xml:space="preserve"> is the error term.</w:t>
      </w:r>
    </w:p>
    <w:p w:rsidR="007C09BC" w:rsidRPr="00D02BAF" w:rsidRDefault="005474FC" w:rsidP="00B45C1B">
      <w:pPr>
        <w:pStyle w:val="IFRS9Text"/>
        <w:spacing w:line="240" w:lineRule="atLeast"/>
        <w:ind w:left="142"/>
        <w:rPr>
          <w:rFonts w:ascii="Arial" w:hAnsi="Arial" w:cs="Arial"/>
          <w:lang w:val="en-CA"/>
        </w:rPr>
      </w:pPr>
      <w:r>
        <w:rPr>
          <w:rFonts w:ascii="Arial" w:hAnsi="Arial" w:cs="Arial"/>
          <w:lang w:val="en-CA"/>
        </w:rPr>
        <w:t>As an illustrative example, t</w:t>
      </w:r>
      <w:bookmarkStart w:id="0" w:name="_GoBack"/>
      <w:bookmarkEnd w:id="0"/>
      <w:r w:rsidR="007C09BC" w:rsidRPr="00D02BAF">
        <w:rPr>
          <w:rFonts w:ascii="Arial" w:hAnsi="Arial" w:cs="Arial"/>
          <w:lang w:val="en-CA"/>
        </w:rPr>
        <w:t xml:space="preserve">he bond yield data </w:t>
      </w:r>
      <m:oMath>
        <m:d>
          <m:dPr>
            <m:begChr m:val="{"/>
            <m:endChr m:val="}"/>
            <m:ctrlPr>
              <w:rPr>
                <w:rFonts w:ascii="Cambria Math" w:hAnsi="Cambria Math" w:cs="Arial"/>
                <w:i/>
              </w:rPr>
            </m:ctrlPr>
          </m:dPr>
          <m:e>
            <m:sSub>
              <m:sSubPr>
                <m:ctrlPr>
                  <w:rPr>
                    <w:rFonts w:ascii="Cambria Math" w:hAnsi="Cambria Math" w:cs="Arial"/>
                    <w:i/>
                  </w:rPr>
                </m:ctrlPr>
              </m:sSubPr>
              <m:e>
                <m:r>
                  <w:rPr>
                    <w:rFonts w:ascii="Cambria Math" w:hAnsi="Cambria Math" w:cs="Arial"/>
                  </w:rPr>
                  <m:t>y</m:t>
                </m:r>
              </m:e>
              <m:sub>
                <m:r>
                  <w:rPr>
                    <w:rFonts w:ascii="Cambria Math" w:hAnsi="Cambria Math" w:cs="Arial"/>
                  </w:rPr>
                  <m:t>i</m:t>
                </m:r>
              </m:sub>
            </m:sSub>
          </m:e>
        </m:d>
      </m:oMath>
      <w:r w:rsidR="007C09BC" w:rsidRPr="00D02BAF">
        <w:rPr>
          <w:rFonts w:ascii="Arial" w:hAnsi="Arial" w:cs="Arial"/>
        </w:rPr>
        <w:t xml:space="preserve"> was estimated by running a search for the </w:t>
      </w:r>
      <w:r w:rsidR="007C09BC" w:rsidRPr="00D02BAF">
        <w:rPr>
          <w:rFonts w:ascii="Arial" w:eastAsiaTheme="minorEastAsia" w:hAnsi="Arial" w:cs="Arial"/>
        </w:rPr>
        <w:t>US$ denominated bonds issued in US and Canada by companies operating in broad industrial sector that have a Caa2/CCC credit rating reported consistently by both Moody’s and S&amp;P rating agencies</w:t>
      </w:r>
      <w:r w:rsidR="00C731F0" w:rsidRPr="00D02BAF">
        <w:rPr>
          <w:rFonts w:ascii="Arial" w:eastAsiaTheme="minorEastAsia" w:hAnsi="Arial" w:cs="Arial"/>
        </w:rPr>
        <w:t>.</w:t>
      </w:r>
      <w:r w:rsidR="00B80331" w:rsidRPr="00D02BAF">
        <w:rPr>
          <w:rFonts w:ascii="Arial" w:eastAsiaTheme="minorEastAsia" w:hAnsi="Arial" w:cs="Arial"/>
        </w:rPr>
        <w:t xml:space="preserve"> The search was performed </w:t>
      </w:r>
      <w:r w:rsidR="00AD137D" w:rsidRPr="00D02BAF">
        <w:rPr>
          <w:rFonts w:ascii="Arial" w:eastAsiaTheme="minorEastAsia" w:hAnsi="Arial" w:cs="Arial"/>
        </w:rPr>
        <w:t>using</w:t>
      </w:r>
      <w:r w:rsidR="00B80331" w:rsidRPr="00D02BAF">
        <w:rPr>
          <w:rFonts w:ascii="Arial" w:eastAsiaTheme="minorEastAsia" w:hAnsi="Arial" w:cs="Arial"/>
        </w:rPr>
        <w:t xml:space="preserve"> Bloomberg database </w:t>
      </w:r>
      <w:r w:rsidR="00AD137D" w:rsidRPr="00D02BAF">
        <w:rPr>
          <w:rFonts w:ascii="Arial" w:eastAsiaTheme="minorEastAsia" w:hAnsi="Arial" w:cs="Arial"/>
        </w:rPr>
        <w:t xml:space="preserve">and the search </w:t>
      </w:r>
      <w:r w:rsidR="00B80331" w:rsidRPr="00D02BAF">
        <w:rPr>
          <w:rFonts w:ascii="Arial" w:eastAsiaTheme="minorEastAsia" w:hAnsi="Arial" w:cs="Arial"/>
        </w:rPr>
        <w:t xml:space="preserve">identified </w:t>
      </w:r>
      <w:r w:rsidR="000036D3" w:rsidRPr="000036D3">
        <w:rPr>
          <w:rFonts w:ascii="Arial" w:eastAsiaTheme="minorEastAsia" w:hAnsi="Arial" w:cs="Arial"/>
        </w:rPr>
        <w:t>28</w:t>
      </w:r>
      <w:r w:rsidR="00B80331" w:rsidRPr="00D02BAF">
        <w:rPr>
          <w:rFonts w:ascii="Arial" w:eastAsiaTheme="minorEastAsia" w:hAnsi="Arial" w:cs="Arial"/>
        </w:rPr>
        <w:t xml:space="preserve"> bond transactions that matched </w:t>
      </w:r>
      <w:r w:rsidR="00AD137D" w:rsidRPr="00D02BAF">
        <w:rPr>
          <w:rFonts w:ascii="Arial" w:eastAsiaTheme="minorEastAsia" w:hAnsi="Arial" w:cs="Arial"/>
        </w:rPr>
        <w:t>the above criteria</w:t>
      </w:r>
      <w:r w:rsidR="00B80331" w:rsidRPr="00D02BAF">
        <w:rPr>
          <w:rFonts w:ascii="Arial" w:eastAsiaTheme="minorEastAsia" w:hAnsi="Arial" w:cs="Arial"/>
        </w:rPr>
        <w:t>.</w:t>
      </w:r>
    </w:p>
    <w:p w:rsidR="00B45C1B" w:rsidRPr="00D02BAF" w:rsidRDefault="00B45C1B" w:rsidP="00B45C1B">
      <w:pPr>
        <w:pStyle w:val="IFRS9Text"/>
        <w:spacing w:line="240" w:lineRule="atLeast"/>
        <w:ind w:left="142"/>
        <w:rPr>
          <w:rFonts w:ascii="Arial" w:eastAsiaTheme="minorEastAsia" w:hAnsi="Arial" w:cs="Arial"/>
        </w:rPr>
      </w:pPr>
      <w:r w:rsidRPr="00D02BAF">
        <w:rPr>
          <w:rFonts w:ascii="Arial" w:hAnsi="Arial" w:cs="Arial"/>
          <w:lang w:val="en-CA"/>
        </w:rPr>
        <w:t xml:space="preserve">The </w:t>
      </w:r>
      <w:r w:rsidR="002D34E6" w:rsidRPr="00D02BAF">
        <w:rPr>
          <w:rFonts w:ascii="Arial" w:hAnsi="Arial" w:cs="Arial"/>
          <w:lang w:val="en-CA"/>
        </w:rPr>
        <w:t xml:space="preserve">unknown parameters </w:t>
      </w:r>
      <m:oMath>
        <m:sSub>
          <m:sSubPr>
            <m:ctrlPr>
              <w:rPr>
                <w:rFonts w:ascii="Cambria Math" w:hAnsi="Cambria Math" w:cs="Arial"/>
                <w:i/>
              </w:rPr>
            </m:ctrlPr>
          </m:sSubPr>
          <m:e>
            <m:r>
              <w:rPr>
                <w:rFonts w:ascii="Cambria Math" w:hAnsi="Cambria Math" w:cs="Arial"/>
              </w:rPr>
              <m:t>f</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f</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f</m:t>
            </m:r>
          </m:e>
          <m:sub>
            <m:r>
              <w:rPr>
                <w:rFonts w:ascii="Cambria Math" w:hAnsi="Cambria Math" w:cs="Arial"/>
              </w:rPr>
              <m:t>3</m:t>
            </m:r>
          </m:sub>
        </m:sSub>
      </m:oMath>
      <w:r w:rsidR="002D34E6" w:rsidRPr="00D02BAF">
        <w:rPr>
          <w:rFonts w:ascii="Arial" w:hAnsi="Arial" w:cs="Arial"/>
        </w:rPr>
        <w:t xml:space="preserve"> are </w:t>
      </w:r>
      <w:r w:rsidR="006A51AE" w:rsidRPr="00D02BAF">
        <w:rPr>
          <w:rFonts w:ascii="Arial" w:hAnsi="Arial" w:cs="Arial"/>
          <w:lang w:val="en-CA"/>
        </w:rPr>
        <w:t>referred to</w:t>
      </w:r>
      <w:r w:rsidR="002D34E6" w:rsidRPr="00D02BAF">
        <w:rPr>
          <w:rFonts w:ascii="Arial" w:hAnsi="Arial" w:cs="Arial"/>
          <w:lang w:val="en-CA"/>
        </w:rPr>
        <w:t xml:space="preserve"> as model </w:t>
      </w:r>
      <w:r w:rsidRPr="00D02BAF">
        <w:rPr>
          <w:rFonts w:ascii="Arial" w:hAnsi="Arial" w:cs="Arial"/>
          <w:lang w:val="en-CA"/>
        </w:rPr>
        <w:t>factors</w:t>
      </w:r>
      <w:r w:rsidR="00787780">
        <w:rPr>
          <w:rFonts w:ascii="Arial" w:hAnsi="Arial" w:cs="Arial"/>
          <w:lang w:val="en-CA"/>
        </w:rPr>
        <w:t xml:space="preserve"> and are</w:t>
      </w:r>
      <w:r w:rsidRPr="00D02BAF">
        <w:rPr>
          <w:rFonts w:ascii="Arial" w:hAnsi="Arial" w:cs="Arial"/>
          <w:lang w:val="en-CA"/>
        </w:rPr>
        <w:t xml:space="preserve"> interpreted as follows: </w:t>
      </w:r>
      <w:r w:rsidRPr="00D02BAF">
        <w:rPr>
          <w:rFonts w:ascii="Arial" w:hAnsi="Arial" w:cs="Arial"/>
        </w:rPr>
        <w:t xml:space="preserve">(i) </w:t>
      </w:r>
      <m:oMath>
        <m:sSub>
          <m:sSubPr>
            <m:ctrlPr>
              <w:rPr>
                <w:rFonts w:ascii="Cambria Math" w:hAnsi="Cambria Math" w:cs="Arial"/>
                <w:i/>
              </w:rPr>
            </m:ctrlPr>
          </m:sSubPr>
          <m:e>
            <m:r>
              <w:rPr>
                <w:rFonts w:ascii="Cambria Math" w:hAnsi="Cambria Math" w:cs="Arial"/>
              </w:rPr>
              <m:t>f</m:t>
            </m:r>
          </m:e>
          <m:sub>
            <m:r>
              <w:rPr>
                <w:rFonts w:ascii="Cambria Math" w:hAnsi="Cambria Math" w:cs="Arial"/>
              </w:rPr>
              <m:t>1</m:t>
            </m:r>
          </m:sub>
        </m:sSub>
      </m:oMath>
      <w:r w:rsidRPr="00D02BAF">
        <w:rPr>
          <w:rFonts w:ascii="Arial" w:eastAsiaTheme="minorEastAsia" w:hAnsi="Arial" w:cs="Arial"/>
        </w:rPr>
        <w:t xml:space="preserve"> is the term structure </w:t>
      </w:r>
      <w:r w:rsidRPr="00D02BAF">
        <w:rPr>
          <w:rFonts w:ascii="Arial" w:hAnsi="Arial" w:cs="Arial"/>
          <w:i/>
        </w:rPr>
        <w:t>level</w:t>
      </w:r>
      <w:r w:rsidRPr="00D02BAF">
        <w:rPr>
          <w:rFonts w:ascii="Arial" w:hAnsi="Arial" w:cs="Arial"/>
        </w:rPr>
        <w:t xml:space="preserve"> factor; (ii) </w:t>
      </w:r>
      <m:oMath>
        <m:sSub>
          <m:sSubPr>
            <m:ctrlPr>
              <w:rPr>
                <w:rFonts w:ascii="Cambria Math" w:hAnsi="Cambria Math" w:cs="Arial"/>
                <w:i/>
              </w:rPr>
            </m:ctrlPr>
          </m:sSubPr>
          <m:e>
            <m:r>
              <w:rPr>
                <w:rFonts w:ascii="Cambria Math" w:hAnsi="Cambria Math" w:cs="Arial"/>
              </w:rPr>
              <m:t>f</m:t>
            </m:r>
          </m:e>
          <m:sub>
            <m:r>
              <w:rPr>
                <w:rFonts w:ascii="Cambria Math" w:hAnsi="Cambria Math" w:cs="Arial"/>
              </w:rPr>
              <m:t>2</m:t>
            </m:r>
          </m:sub>
        </m:sSub>
      </m:oMath>
      <w:r w:rsidRPr="00D02BAF">
        <w:rPr>
          <w:rFonts w:ascii="Arial" w:eastAsiaTheme="minorEastAsia" w:hAnsi="Arial" w:cs="Arial"/>
        </w:rPr>
        <w:t xml:space="preserve"> is the term structure </w:t>
      </w:r>
      <w:r w:rsidRPr="00D02BAF">
        <w:rPr>
          <w:rFonts w:ascii="Arial" w:hAnsi="Arial" w:cs="Arial"/>
          <w:i/>
        </w:rPr>
        <w:t>slope</w:t>
      </w:r>
      <w:r w:rsidRPr="00D02BAF">
        <w:rPr>
          <w:rFonts w:ascii="Arial" w:hAnsi="Arial" w:cs="Arial"/>
        </w:rPr>
        <w:t xml:space="preserve"> factor; and (iii) </w:t>
      </w:r>
      <m:oMath>
        <m:sSub>
          <m:sSubPr>
            <m:ctrlPr>
              <w:rPr>
                <w:rFonts w:ascii="Cambria Math" w:hAnsi="Cambria Math" w:cs="Arial"/>
                <w:i/>
              </w:rPr>
            </m:ctrlPr>
          </m:sSubPr>
          <m:e>
            <m:r>
              <w:rPr>
                <w:rFonts w:ascii="Cambria Math" w:hAnsi="Cambria Math" w:cs="Arial"/>
              </w:rPr>
              <m:t>f</m:t>
            </m:r>
          </m:e>
          <m:sub>
            <m:r>
              <w:rPr>
                <w:rFonts w:ascii="Cambria Math" w:hAnsi="Cambria Math" w:cs="Arial"/>
              </w:rPr>
              <m:t>3</m:t>
            </m:r>
          </m:sub>
        </m:sSub>
      </m:oMath>
      <w:r w:rsidRPr="00D02BAF">
        <w:rPr>
          <w:rFonts w:ascii="Arial" w:eastAsiaTheme="minorEastAsia" w:hAnsi="Arial" w:cs="Arial"/>
        </w:rPr>
        <w:t xml:space="preserve"> is the term structure </w:t>
      </w:r>
      <w:r w:rsidRPr="00D02BAF">
        <w:rPr>
          <w:rFonts w:ascii="Arial" w:hAnsi="Arial" w:cs="Arial"/>
          <w:i/>
        </w:rPr>
        <w:t>curvature</w:t>
      </w:r>
      <w:r w:rsidRPr="00D02BAF">
        <w:rPr>
          <w:rFonts w:ascii="Arial" w:hAnsi="Arial" w:cs="Arial"/>
        </w:rPr>
        <w:t xml:space="preserve"> factor.</w:t>
      </w:r>
      <w:r w:rsidR="003418B3" w:rsidRPr="00D02BAF">
        <w:rPr>
          <w:rStyle w:val="FootnoteReference"/>
          <w:rFonts w:ascii="Arial" w:hAnsi="Arial" w:cs="Arial"/>
        </w:rPr>
        <w:footnoteReference w:id="2"/>
      </w:r>
      <w:r w:rsidRPr="00D02BAF">
        <w:rPr>
          <w:rFonts w:ascii="Arial" w:hAnsi="Arial" w:cs="Arial"/>
        </w:rPr>
        <w:t xml:space="preserve"> </w:t>
      </w:r>
      <w:r w:rsidRPr="00D02BAF">
        <w:rPr>
          <w:rFonts w:ascii="Arial" w:eastAsiaTheme="minorEastAsia" w:hAnsi="Arial" w:cs="Arial"/>
        </w:rPr>
        <w:t xml:space="preserve">Functions </w:t>
      </w:r>
      <m:oMath>
        <m:sSub>
          <m:sSubPr>
            <m:ctrlPr>
              <w:rPr>
                <w:rFonts w:ascii="Cambria Math" w:eastAsiaTheme="minorEastAsia" w:hAnsi="Cambria Math" w:cs="Arial"/>
                <w:i/>
              </w:rPr>
            </m:ctrlPr>
          </m:sSubPr>
          <m:e>
            <m:r>
              <m:rPr>
                <m:sty m:val="p"/>
              </m:rPr>
              <w:rPr>
                <w:rFonts w:ascii="Cambria Math" w:eastAsiaTheme="minorEastAsia" w:hAnsi="Cambria Math" w:cs="Arial"/>
              </w:rPr>
              <m:t>Λ</m:t>
            </m:r>
          </m:e>
          <m:sub>
            <m:r>
              <w:rPr>
                <w:rFonts w:ascii="Cambria Math" w:eastAsiaTheme="minorEastAsia" w:hAnsi="Cambria Math" w:cs="Arial"/>
              </w:rPr>
              <m:t>1,τ</m:t>
            </m:r>
          </m:sub>
        </m:sSub>
        <m:r>
          <w:rPr>
            <w:rFonts w:ascii="Cambria Math" w:eastAsiaTheme="minorEastAsia" w:hAnsi="Cambria Math" w:cs="Arial"/>
          </w:rPr>
          <m:t>=1</m:t>
        </m:r>
      </m:oMath>
      <w:r w:rsidRPr="00D02BAF">
        <w:rPr>
          <w:rFonts w:ascii="Arial" w:eastAsiaTheme="minorEastAsia" w:hAnsi="Arial" w:cs="Arial"/>
        </w:rPr>
        <w:t xml:space="preserve">, </w:t>
      </w:r>
      <m:oMath>
        <m:sSub>
          <m:sSubPr>
            <m:ctrlPr>
              <w:rPr>
                <w:rFonts w:ascii="Cambria Math" w:eastAsiaTheme="minorEastAsia" w:hAnsi="Cambria Math" w:cs="Arial"/>
                <w:i/>
              </w:rPr>
            </m:ctrlPr>
          </m:sSubPr>
          <m:e>
            <m:r>
              <m:rPr>
                <m:sty m:val="p"/>
              </m:rPr>
              <w:rPr>
                <w:rFonts w:ascii="Cambria Math" w:eastAsiaTheme="minorEastAsia" w:hAnsi="Cambria Math" w:cs="Arial"/>
              </w:rPr>
              <m:t>Λ</m:t>
            </m:r>
          </m:e>
          <m:sub>
            <m:r>
              <w:rPr>
                <w:rFonts w:ascii="Cambria Math" w:eastAsiaTheme="minorEastAsia" w:hAnsi="Cambria Math" w:cs="Arial"/>
              </w:rPr>
              <m:t>2,τ</m:t>
            </m:r>
          </m:sub>
        </m:sSub>
        <m:r>
          <w:rPr>
            <w:rFonts w:ascii="Cambria Math" w:eastAsiaTheme="minorEastAsia" w:hAnsi="Cambria Math" w:cs="Arial"/>
          </w:rPr>
          <m:t>=</m:t>
        </m:r>
        <m:f>
          <m:fPr>
            <m:ctrlPr>
              <w:rPr>
                <w:rFonts w:ascii="Cambria Math" w:hAnsi="Cambria Math" w:cs="Arial"/>
                <w:i/>
              </w:rPr>
            </m:ctrlPr>
          </m:fPr>
          <m:num>
            <m:r>
              <w:rPr>
                <w:rFonts w:ascii="Cambria Math" w:hAnsi="Cambria Math" w:cs="Arial"/>
              </w:rPr>
              <m:t>1-</m:t>
            </m:r>
            <m:sSup>
              <m:sSupPr>
                <m:ctrlPr>
                  <w:rPr>
                    <w:rFonts w:ascii="Cambria Math" w:hAnsi="Cambria Math" w:cs="Arial"/>
                    <w:i/>
                  </w:rPr>
                </m:ctrlPr>
              </m:sSupPr>
              <m:e>
                <m:r>
                  <w:rPr>
                    <w:rFonts w:ascii="Cambria Math" w:hAnsi="Cambria Math" w:cs="Arial"/>
                  </w:rPr>
                  <m:t>e</m:t>
                </m:r>
              </m:e>
              <m:sup>
                <m:r>
                  <w:rPr>
                    <w:rFonts w:ascii="Cambria Math" w:hAnsi="Cambria Math" w:cs="Arial"/>
                  </w:rPr>
                  <m:t>-ατ</m:t>
                </m:r>
              </m:sup>
            </m:sSup>
          </m:num>
          <m:den>
            <m:r>
              <w:rPr>
                <w:rFonts w:ascii="Cambria Math" w:hAnsi="Cambria Math" w:cs="Arial"/>
              </w:rPr>
              <m:t>ατ</m:t>
            </m:r>
          </m:den>
        </m:f>
      </m:oMath>
      <w:r w:rsidRPr="00D02BAF">
        <w:rPr>
          <w:rFonts w:ascii="Arial" w:eastAsiaTheme="minorEastAsia" w:hAnsi="Arial" w:cs="Arial"/>
        </w:rPr>
        <w:t xml:space="preserve">, and </w:t>
      </w:r>
      <m:oMath>
        <m:sSub>
          <m:sSubPr>
            <m:ctrlPr>
              <w:rPr>
                <w:rFonts w:ascii="Cambria Math" w:eastAsiaTheme="minorEastAsia" w:hAnsi="Cambria Math" w:cs="Arial"/>
                <w:i/>
              </w:rPr>
            </m:ctrlPr>
          </m:sSubPr>
          <m:e>
            <m:r>
              <m:rPr>
                <m:sty m:val="p"/>
              </m:rPr>
              <w:rPr>
                <w:rFonts w:ascii="Cambria Math" w:eastAsiaTheme="minorEastAsia" w:hAnsi="Cambria Math" w:cs="Arial"/>
              </w:rPr>
              <m:t>Λ</m:t>
            </m:r>
          </m:e>
          <m:sub>
            <m:r>
              <w:rPr>
                <w:rFonts w:ascii="Cambria Math" w:eastAsiaTheme="minorEastAsia" w:hAnsi="Cambria Math" w:cs="Arial"/>
              </w:rPr>
              <m:t>3,τ</m:t>
            </m:r>
          </m:sub>
        </m:sSub>
        <m:r>
          <w:rPr>
            <w:rFonts w:ascii="Cambria Math" w:eastAsiaTheme="minorEastAsia" w:hAnsi="Cambria Math" w:cs="Arial"/>
          </w:rPr>
          <m:t>=</m:t>
        </m:r>
        <m:f>
          <m:fPr>
            <m:ctrlPr>
              <w:rPr>
                <w:rFonts w:ascii="Cambria Math" w:hAnsi="Cambria Math" w:cs="Arial"/>
                <w:i/>
              </w:rPr>
            </m:ctrlPr>
          </m:fPr>
          <m:num>
            <m:r>
              <w:rPr>
                <w:rFonts w:ascii="Cambria Math" w:hAnsi="Cambria Math" w:cs="Arial"/>
              </w:rPr>
              <m:t>1-</m:t>
            </m:r>
            <m:sSup>
              <m:sSupPr>
                <m:ctrlPr>
                  <w:rPr>
                    <w:rFonts w:ascii="Cambria Math" w:hAnsi="Cambria Math" w:cs="Arial"/>
                    <w:i/>
                  </w:rPr>
                </m:ctrlPr>
              </m:sSupPr>
              <m:e>
                <m:r>
                  <w:rPr>
                    <w:rFonts w:ascii="Cambria Math" w:hAnsi="Cambria Math" w:cs="Arial"/>
                  </w:rPr>
                  <m:t>e</m:t>
                </m:r>
              </m:e>
              <m:sup>
                <m:r>
                  <w:rPr>
                    <w:rFonts w:ascii="Cambria Math" w:hAnsi="Cambria Math" w:cs="Arial"/>
                  </w:rPr>
                  <m:t>-ατ</m:t>
                </m:r>
              </m:sup>
            </m:sSup>
          </m:num>
          <m:den>
            <m:r>
              <w:rPr>
                <w:rFonts w:ascii="Cambria Math" w:hAnsi="Cambria Math" w:cs="Arial"/>
              </w:rPr>
              <m:t>ατ</m:t>
            </m:r>
          </m:den>
        </m:f>
        <m:r>
          <w:rPr>
            <w:rFonts w:ascii="Cambria Math" w:hAnsi="Cambria Math" w:cs="Arial"/>
          </w:rPr>
          <m:t>-</m:t>
        </m:r>
        <m:sSup>
          <m:sSupPr>
            <m:ctrlPr>
              <w:rPr>
                <w:rFonts w:ascii="Cambria Math" w:hAnsi="Cambria Math" w:cs="Arial"/>
                <w:i/>
              </w:rPr>
            </m:ctrlPr>
          </m:sSupPr>
          <m:e>
            <m:r>
              <w:rPr>
                <w:rFonts w:ascii="Cambria Math" w:hAnsi="Cambria Math" w:cs="Arial"/>
              </w:rPr>
              <m:t>e</m:t>
            </m:r>
          </m:e>
          <m:sup>
            <m:r>
              <w:rPr>
                <w:rFonts w:ascii="Cambria Math" w:hAnsi="Cambria Math" w:cs="Arial"/>
              </w:rPr>
              <m:t>-ατ</m:t>
            </m:r>
          </m:sup>
        </m:sSup>
      </m:oMath>
      <w:r w:rsidRPr="00D02BAF">
        <w:rPr>
          <w:rFonts w:ascii="Arial" w:eastAsiaTheme="minorEastAsia" w:hAnsi="Arial" w:cs="Arial"/>
        </w:rPr>
        <w:t xml:space="preserve"> are referred to as factor loadings.</w:t>
      </w:r>
    </w:p>
    <w:p w:rsidR="00B83A29" w:rsidRPr="00D02BAF" w:rsidRDefault="00B83A29" w:rsidP="00B45C1B">
      <w:pPr>
        <w:pStyle w:val="IFRS9Text"/>
        <w:spacing w:line="240" w:lineRule="atLeast"/>
        <w:ind w:left="142"/>
        <w:rPr>
          <w:rFonts w:ascii="Arial" w:eastAsiaTheme="minorEastAsia" w:hAnsi="Arial" w:cs="Arial"/>
        </w:rPr>
      </w:pPr>
      <w:r w:rsidRPr="00D02BAF">
        <w:rPr>
          <w:rFonts w:ascii="Arial" w:eastAsiaTheme="minorEastAsia" w:hAnsi="Arial" w:cs="Arial"/>
        </w:rPr>
        <w:t>The unknown parameters are estimated as follows:</w:t>
      </w:r>
    </w:p>
    <w:p w:rsidR="00B83A29" w:rsidRPr="00D02BAF" w:rsidRDefault="00B83A29" w:rsidP="00B83A29">
      <w:pPr>
        <w:pStyle w:val="IFRS9Text"/>
        <w:numPr>
          <w:ilvl w:val="0"/>
          <w:numId w:val="1"/>
        </w:numPr>
        <w:spacing w:line="240" w:lineRule="atLeast"/>
        <w:rPr>
          <w:rFonts w:ascii="Arial" w:eastAsiaTheme="minorEastAsia" w:hAnsi="Arial" w:cs="Arial"/>
        </w:rPr>
      </w:pPr>
      <w:r w:rsidRPr="00D02BAF">
        <w:rPr>
          <w:rFonts w:ascii="Arial" w:eastAsiaTheme="minorEastAsia" w:hAnsi="Arial" w:cs="Arial"/>
        </w:rPr>
        <w:t xml:space="preserve">Select parameter </w:t>
      </w:r>
      <m:oMath>
        <m:r>
          <w:rPr>
            <w:rFonts w:ascii="Cambria Math" w:hAnsi="Cambria Math" w:cs="Arial"/>
          </w:rPr>
          <m:t>α</m:t>
        </m:r>
      </m:oMath>
      <w:r w:rsidRPr="00D02BAF">
        <w:rPr>
          <w:rFonts w:ascii="Arial" w:eastAsiaTheme="minorEastAsia" w:hAnsi="Arial" w:cs="Arial"/>
        </w:rPr>
        <w:t xml:space="preserve"> of the Nelson-Siegel curve family</w:t>
      </w:r>
      <w:r w:rsidR="002079CF" w:rsidRPr="00D02BAF">
        <w:rPr>
          <w:rFonts w:ascii="Arial" w:eastAsiaTheme="minorEastAsia" w:hAnsi="Arial" w:cs="Arial"/>
        </w:rPr>
        <w:t xml:space="preserve">. There are several methods to estimate the </w:t>
      </w:r>
      <m:oMath>
        <m:r>
          <w:rPr>
            <w:rFonts w:ascii="Cambria Math" w:hAnsi="Cambria Math" w:cs="Arial"/>
          </w:rPr>
          <m:t>α</m:t>
        </m:r>
      </m:oMath>
      <w:r w:rsidR="002079CF" w:rsidRPr="00D02BAF">
        <w:rPr>
          <w:rFonts w:ascii="Arial" w:eastAsiaTheme="minorEastAsia" w:hAnsi="Arial" w:cs="Arial"/>
        </w:rPr>
        <w:t xml:space="preserve"> parameter that </w:t>
      </w:r>
      <w:r w:rsidR="00EA255B" w:rsidRPr="00D02BAF">
        <w:rPr>
          <w:rFonts w:ascii="Arial" w:eastAsiaTheme="minorEastAsia" w:hAnsi="Arial" w:cs="Arial"/>
        </w:rPr>
        <w:t>have been</w:t>
      </w:r>
      <w:r w:rsidR="002079CF" w:rsidRPr="00D02BAF">
        <w:rPr>
          <w:rFonts w:ascii="Arial" w:eastAsiaTheme="minorEastAsia" w:hAnsi="Arial" w:cs="Arial"/>
        </w:rPr>
        <w:t xml:space="preserve"> recommended in the literature:</w:t>
      </w:r>
      <w:r w:rsidR="000D0B09">
        <w:rPr>
          <w:rStyle w:val="FootnoteReference"/>
          <w:rFonts w:ascii="Arial" w:eastAsiaTheme="minorEastAsia" w:hAnsi="Arial" w:cs="Arial"/>
        </w:rPr>
        <w:footnoteReference w:id="3"/>
      </w:r>
    </w:p>
    <w:p w:rsidR="002079CF" w:rsidRPr="00D02BAF" w:rsidRDefault="00492C5F" w:rsidP="00492C5F">
      <w:pPr>
        <w:pStyle w:val="IFRS9Text"/>
        <w:numPr>
          <w:ilvl w:val="1"/>
          <w:numId w:val="1"/>
        </w:numPr>
        <w:spacing w:line="240" w:lineRule="atLeast"/>
        <w:ind w:left="1276" w:hanging="425"/>
        <w:rPr>
          <w:rFonts w:ascii="Arial" w:eastAsiaTheme="minorEastAsia" w:hAnsi="Arial" w:cs="Arial"/>
        </w:rPr>
      </w:pPr>
      <w:r w:rsidRPr="00D02BAF">
        <w:rPr>
          <w:rFonts w:ascii="Arial" w:eastAsiaTheme="minorEastAsia" w:hAnsi="Arial" w:cs="Arial"/>
        </w:rPr>
        <w:t xml:space="preserve">Diebold-Li: </w:t>
      </w:r>
      <m:oMath>
        <m:r>
          <w:rPr>
            <w:rFonts w:ascii="Cambria Math" w:hAnsi="Cambria Math"/>
          </w:rPr>
          <m:t>α=</m:t>
        </m:r>
        <m:f>
          <m:fPr>
            <m:ctrlPr>
              <w:rPr>
                <w:rFonts w:ascii="Cambria Math" w:hAnsi="Cambria Math"/>
                <w:i/>
              </w:rPr>
            </m:ctrlPr>
          </m:fPr>
          <m:num>
            <m:r>
              <w:rPr>
                <w:rFonts w:ascii="Cambria Math" w:hAnsi="Cambria Math"/>
              </w:rPr>
              <m:t>1</m:t>
            </m:r>
          </m:num>
          <m:den>
            <m:r>
              <w:rPr>
                <w:rFonts w:ascii="Cambria Math" w:hAnsi="Cambria Math"/>
              </w:rPr>
              <m:t>1.37</m:t>
            </m:r>
          </m:den>
        </m:f>
      </m:oMath>
      <w:r w:rsidR="001F5069">
        <w:rPr>
          <w:rFonts w:ascii="Arial" w:eastAsiaTheme="minorEastAsia" w:hAnsi="Arial" w:cs="Arial"/>
        </w:rPr>
        <w:t>;</w:t>
      </w:r>
    </w:p>
    <w:p w:rsidR="00492C5F" w:rsidRPr="00D02BAF" w:rsidRDefault="001F5069" w:rsidP="00492C5F">
      <w:pPr>
        <w:pStyle w:val="IFRS9Text"/>
        <w:numPr>
          <w:ilvl w:val="1"/>
          <w:numId w:val="1"/>
        </w:numPr>
        <w:spacing w:line="240" w:lineRule="atLeast"/>
        <w:ind w:left="1276" w:hanging="425"/>
        <w:rPr>
          <w:rFonts w:ascii="Arial" w:eastAsiaTheme="minorEastAsia" w:hAnsi="Arial" w:cs="Arial"/>
        </w:rPr>
      </w:pPr>
      <w:r>
        <w:rPr>
          <w:rFonts w:ascii="Arial" w:eastAsiaTheme="minorEastAsia" w:hAnsi="Arial" w:cs="Arial"/>
        </w:rPr>
        <w:t xml:space="preserve">Fabozzi: </w:t>
      </w:r>
      <m:oMath>
        <m:r>
          <w:rPr>
            <w:rFonts w:ascii="Cambria Math" w:hAnsi="Cambria Math"/>
          </w:rPr>
          <m:t>α=</m:t>
        </m:r>
        <m:f>
          <m:fPr>
            <m:ctrlPr>
              <w:rPr>
                <w:rFonts w:ascii="Cambria Math" w:hAnsi="Cambria Math"/>
                <w:i/>
              </w:rPr>
            </m:ctrlPr>
          </m:fPr>
          <m:num>
            <m:r>
              <w:rPr>
                <w:rFonts w:ascii="Cambria Math" w:hAnsi="Cambria Math"/>
              </w:rPr>
              <m:t>1</m:t>
            </m:r>
          </m:num>
          <m:den>
            <m:r>
              <w:rPr>
                <w:rFonts w:ascii="Cambria Math" w:hAnsi="Cambria Math"/>
              </w:rPr>
              <m:t>3.0</m:t>
            </m:r>
          </m:den>
        </m:f>
      </m:oMath>
      <w:r>
        <w:rPr>
          <w:rFonts w:ascii="Arial" w:eastAsiaTheme="minorEastAsia" w:hAnsi="Arial" w:cs="Arial"/>
        </w:rPr>
        <w:t>;</w:t>
      </w:r>
    </w:p>
    <w:p w:rsidR="00492C5F" w:rsidRDefault="00492C5F" w:rsidP="00492C5F">
      <w:pPr>
        <w:pStyle w:val="IFRS9Text"/>
        <w:numPr>
          <w:ilvl w:val="1"/>
          <w:numId w:val="1"/>
        </w:numPr>
        <w:spacing w:line="240" w:lineRule="atLeast"/>
        <w:ind w:left="1276" w:hanging="425"/>
        <w:rPr>
          <w:rFonts w:ascii="Arial" w:eastAsiaTheme="minorEastAsia" w:hAnsi="Arial" w:cs="Arial"/>
        </w:rPr>
      </w:pPr>
      <w:r w:rsidRPr="006936DE">
        <w:rPr>
          <w:rFonts w:ascii="Arial" w:eastAsiaTheme="minorEastAsia" w:hAnsi="Arial" w:cs="Arial"/>
        </w:rPr>
        <w:t xml:space="preserve">Nelson-Siegel: estimate parameter </w:t>
      </w:r>
      <m:oMath>
        <m:r>
          <w:rPr>
            <w:rFonts w:ascii="Cambria Math" w:hAnsi="Cambria Math" w:cs="Arial"/>
          </w:rPr>
          <m:t>α</m:t>
        </m:r>
      </m:oMath>
      <w:r w:rsidRPr="006936DE">
        <w:rPr>
          <w:rFonts w:ascii="Arial" w:eastAsiaTheme="minorEastAsia" w:hAnsi="Arial" w:cs="Arial"/>
        </w:rPr>
        <w:t>, which maximizes the R</w:t>
      </w:r>
      <w:r w:rsidRPr="006936DE">
        <w:rPr>
          <w:rFonts w:ascii="Arial" w:eastAsiaTheme="minorEastAsia" w:hAnsi="Arial" w:cs="Arial"/>
          <w:vertAlign w:val="superscript"/>
        </w:rPr>
        <w:t>2</w:t>
      </w:r>
      <w:r w:rsidRPr="006936DE">
        <w:rPr>
          <w:rFonts w:ascii="Arial" w:eastAsiaTheme="minorEastAsia" w:hAnsi="Arial" w:cs="Arial"/>
        </w:rPr>
        <w:t xml:space="preserve"> goodness-of-fit measurement of the regression equation (E1).</w:t>
      </w:r>
    </w:p>
    <w:p w:rsidR="00EA738E" w:rsidRPr="006936DE" w:rsidRDefault="00EA738E" w:rsidP="00EA738E">
      <w:pPr>
        <w:pStyle w:val="IFRS9Text"/>
        <w:spacing w:line="240" w:lineRule="atLeast"/>
        <w:ind w:left="862"/>
        <w:rPr>
          <w:rFonts w:ascii="Arial" w:eastAsiaTheme="minorEastAsia" w:hAnsi="Arial" w:cs="Arial"/>
        </w:rPr>
      </w:pPr>
      <w:r>
        <w:rPr>
          <w:rFonts w:ascii="Arial" w:eastAsiaTheme="minorEastAsia" w:hAnsi="Arial" w:cs="Arial"/>
        </w:rPr>
        <w:t>In practice the three options typically produce similar results.</w:t>
      </w:r>
    </w:p>
    <w:p w:rsidR="00B83A29" w:rsidRPr="006936DE" w:rsidRDefault="00B83A29" w:rsidP="00B83A29">
      <w:pPr>
        <w:pStyle w:val="IFRS9Text"/>
        <w:numPr>
          <w:ilvl w:val="0"/>
          <w:numId w:val="1"/>
        </w:numPr>
        <w:spacing w:line="240" w:lineRule="atLeast"/>
        <w:rPr>
          <w:rFonts w:ascii="Arial" w:eastAsiaTheme="minorEastAsia" w:hAnsi="Arial" w:cs="Arial"/>
        </w:rPr>
      </w:pPr>
      <w:r w:rsidRPr="006936DE">
        <w:rPr>
          <w:rFonts w:ascii="Arial" w:eastAsiaTheme="minorEastAsia" w:hAnsi="Arial" w:cs="Arial"/>
        </w:rPr>
        <w:t xml:space="preserve">Run ordinary least square (OLS) method to estimate parameters </w:t>
      </w:r>
      <m:oMath>
        <m:sSub>
          <m:sSubPr>
            <m:ctrlPr>
              <w:rPr>
                <w:rFonts w:ascii="Cambria Math" w:hAnsi="Cambria Math" w:cs="Arial"/>
                <w:i/>
              </w:rPr>
            </m:ctrlPr>
          </m:sSubPr>
          <m:e>
            <m:r>
              <w:rPr>
                <w:rFonts w:ascii="Cambria Math" w:hAnsi="Cambria Math" w:cs="Arial"/>
              </w:rPr>
              <m:t>f</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f</m:t>
            </m:r>
          </m:e>
          <m:sub>
            <m:r>
              <w:rPr>
                <w:rFonts w:ascii="Cambria Math" w:hAnsi="Cambria Math" w:cs="Arial"/>
              </w:rPr>
              <m:t>2</m:t>
            </m:r>
          </m:sub>
        </m:sSub>
      </m:oMath>
      <w:r w:rsidRPr="006936DE">
        <w:rPr>
          <w:rFonts w:ascii="Arial" w:eastAsiaTheme="minorEastAsia" w:hAnsi="Arial" w:cs="Arial"/>
        </w:rPr>
        <w:t xml:space="preserve"> and </w:t>
      </w:r>
      <m:oMath>
        <m:sSub>
          <m:sSubPr>
            <m:ctrlPr>
              <w:rPr>
                <w:rFonts w:ascii="Cambria Math" w:hAnsi="Cambria Math" w:cs="Arial"/>
                <w:i/>
              </w:rPr>
            </m:ctrlPr>
          </m:sSubPr>
          <m:e>
            <m:r>
              <w:rPr>
                <w:rFonts w:ascii="Cambria Math" w:hAnsi="Cambria Math" w:cs="Arial"/>
              </w:rPr>
              <m:t>f</m:t>
            </m:r>
          </m:e>
          <m:sub>
            <m:r>
              <w:rPr>
                <w:rFonts w:ascii="Cambria Math" w:hAnsi="Cambria Math" w:cs="Arial"/>
              </w:rPr>
              <m:t>3</m:t>
            </m:r>
          </m:sub>
        </m:sSub>
      </m:oMath>
      <w:r w:rsidRPr="006936DE">
        <w:rPr>
          <w:rFonts w:ascii="Arial" w:eastAsiaTheme="minorEastAsia" w:hAnsi="Arial" w:cs="Arial"/>
        </w:rPr>
        <w:t xml:space="preserve"> of </w:t>
      </w:r>
      <w:r w:rsidR="005E24AE" w:rsidRPr="006936DE">
        <w:rPr>
          <w:rFonts w:ascii="Arial" w:eastAsiaTheme="minorEastAsia" w:hAnsi="Arial" w:cs="Arial"/>
        </w:rPr>
        <w:t xml:space="preserve">the </w:t>
      </w:r>
      <w:r w:rsidRPr="006936DE">
        <w:rPr>
          <w:rFonts w:ascii="Arial" w:eastAsiaTheme="minorEastAsia" w:hAnsi="Arial" w:cs="Arial"/>
        </w:rPr>
        <w:t xml:space="preserve">linear regression equation (E1). </w:t>
      </w:r>
    </w:p>
    <w:p w:rsidR="00812312" w:rsidRPr="006936DE" w:rsidRDefault="009B6806" w:rsidP="009B6806">
      <w:pPr>
        <w:pStyle w:val="IFRS9Text"/>
        <w:spacing w:line="240" w:lineRule="atLeast"/>
        <w:ind w:left="142"/>
        <w:rPr>
          <w:rFonts w:ascii="Arial" w:eastAsiaTheme="minorEastAsia" w:hAnsi="Arial" w:cs="Arial"/>
        </w:rPr>
      </w:pPr>
      <w:r w:rsidRPr="006936DE">
        <w:rPr>
          <w:rFonts w:ascii="Arial" w:eastAsiaTheme="minorEastAsia" w:hAnsi="Arial" w:cs="Arial"/>
        </w:rPr>
        <w:lastRenderedPageBreak/>
        <w:t>The yields on CCC rated bonds are typically highly volatile and some yield rates in the identified sample can deviate significantly from the estimated term structure.</w:t>
      </w:r>
      <w:r w:rsidR="00EA4074" w:rsidRPr="006936DE">
        <w:rPr>
          <w:rFonts w:ascii="Arial" w:eastAsiaTheme="minorEastAsia" w:hAnsi="Arial" w:cs="Arial"/>
        </w:rPr>
        <w:t xml:space="preserve"> The yield rates with significant estimated error term </w:t>
      </w:r>
      <w:r w:rsidRPr="006936DE">
        <w:rPr>
          <w:rFonts w:ascii="Arial" w:eastAsiaTheme="minorEastAsia" w:hAnsi="Arial" w:cs="Arial"/>
        </w:rPr>
        <w:t xml:space="preserve"> </w:t>
      </w:r>
      <m:oMath>
        <m:sSub>
          <m:sSubPr>
            <m:ctrlPr>
              <w:rPr>
                <w:rFonts w:ascii="Cambria Math" w:hAnsi="Cambria Math" w:cs="Arial"/>
                <w:i/>
              </w:rPr>
            </m:ctrlPr>
          </m:sSubPr>
          <m:e>
            <m:r>
              <w:rPr>
                <w:rFonts w:ascii="Cambria Math" w:hAnsi="Cambria Math" w:cs="Arial"/>
              </w:rPr>
              <m:t>ε</m:t>
            </m:r>
          </m:e>
          <m:sub>
            <m:r>
              <w:rPr>
                <w:rFonts w:ascii="Cambria Math" w:hAnsi="Cambria Math" w:cs="Arial"/>
              </w:rPr>
              <m:t>i</m:t>
            </m:r>
          </m:sub>
        </m:sSub>
      </m:oMath>
      <w:r w:rsidR="00EA4074" w:rsidRPr="006936DE">
        <w:rPr>
          <w:rFonts w:ascii="Arial" w:eastAsiaTheme="minorEastAsia" w:hAnsi="Arial" w:cs="Arial"/>
        </w:rPr>
        <w:t xml:space="preserve"> are interpreted as yield rate outliers. In many cases, the </w:t>
      </w:r>
      <w:r w:rsidR="004E0F42" w:rsidRPr="006936DE">
        <w:rPr>
          <w:rFonts w:ascii="Arial" w:eastAsiaTheme="minorEastAsia" w:hAnsi="Arial" w:cs="Arial"/>
        </w:rPr>
        <w:t xml:space="preserve">outlier yield rates are </w:t>
      </w:r>
      <w:r w:rsidR="006748D1" w:rsidRPr="006936DE">
        <w:rPr>
          <w:rFonts w:ascii="Arial" w:eastAsiaTheme="minorEastAsia" w:hAnsi="Arial" w:cs="Arial"/>
        </w:rPr>
        <w:t xml:space="preserve">typically </w:t>
      </w:r>
      <w:r w:rsidR="004E0F42" w:rsidRPr="006936DE">
        <w:rPr>
          <w:rFonts w:ascii="Arial" w:eastAsiaTheme="minorEastAsia" w:hAnsi="Arial" w:cs="Arial"/>
        </w:rPr>
        <w:t xml:space="preserve">significantly higher than the </w:t>
      </w:r>
      <w:r w:rsidR="006748D1" w:rsidRPr="006936DE">
        <w:rPr>
          <w:rFonts w:ascii="Arial" w:eastAsiaTheme="minorEastAsia" w:hAnsi="Arial" w:cs="Arial"/>
        </w:rPr>
        <w:t xml:space="preserve">estimated </w:t>
      </w:r>
      <w:r w:rsidR="004E0F42" w:rsidRPr="006936DE">
        <w:rPr>
          <w:rFonts w:ascii="Arial" w:eastAsiaTheme="minorEastAsia" w:hAnsi="Arial" w:cs="Arial"/>
        </w:rPr>
        <w:t>term structure</w:t>
      </w:r>
      <w:r w:rsidR="006748D1" w:rsidRPr="006936DE">
        <w:rPr>
          <w:rFonts w:ascii="Arial" w:eastAsiaTheme="minorEastAsia" w:hAnsi="Arial" w:cs="Arial"/>
        </w:rPr>
        <w:t xml:space="preserve"> yields.</w:t>
      </w:r>
      <w:r w:rsidR="004E0F42" w:rsidRPr="006936DE">
        <w:rPr>
          <w:rFonts w:ascii="Arial" w:eastAsiaTheme="minorEastAsia" w:hAnsi="Arial" w:cs="Arial"/>
        </w:rPr>
        <w:t xml:space="preserve"> </w:t>
      </w:r>
      <w:r w:rsidR="006748D1" w:rsidRPr="006936DE">
        <w:rPr>
          <w:rFonts w:ascii="Arial" w:eastAsiaTheme="minorEastAsia" w:hAnsi="Arial" w:cs="Arial"/>
        </w:rPr>
        <w:t>T</w:t>
      </w:r>
      <w:r w:rsidR="004E0F42" w:rsidRPr="006936DE">
        <w:rPr>
          <w:rFonts w:ascii="Arial" w:eastAsiaTheme="minorEastAsia" w:hAnsi="Arial" w:cs="Arial"/>
        </w:rPr>
        <w:t xml:space="preserve">he </w:t>
      </w:r>
      <w:r w:rsidR="00A53F1A" w:rsidRPr="006936DE">
        <w:rPr>
          <w:rFonts w:ascii="Arial" w:eastAsiaTheme="minorEastAsia" w:hAnsi="Arial" w:cs="Arial"/>
        </w:rPr>
        <w:t>increase in</w:t>
      </w:r>
      <w:r w:rsidR="00EA4074" w:rsidRPr="006936DE">
        <w:rPr>
          <w:rFonts w:ascii="Arial" w:eastAsiaTheme="minorEastAsia" w:hAnsi="Arial" w:cs="Arial"/>
        </w:rPr>
        <w:t xml:space="preserve"> the </w:t>
      </w:r>
      <w:r w:rsidR="004E0F42" w:rsidRPr="006936DE">
        <w:rPr>
          <w:rFonts w:ascii="Arial" w:eastAsiaTheme="minorEastAsia" w:hAnsi="Arial" w:cs="Arial"/>
        </w:rPr>
        <w:t>outlier yield rates</w:t>
      </w:r>
      <w:r w:rsidR="006748D1" w:rsidRPr="006936DE">
        <w:rPr>
          <w:rFonts w:ascii="Arial" w:eastAsiaTheme="minorEastAsia" w:hAnsi="Arial" w:cs="Arial"/>
        </w:rPr>
        <w:t xml:space="preserve"> can be explained by a future downgrade in the related bond credit rating (and in some cases default on the bond), removal of the bond credit rating or other </w:t>
      </w:r>
      <w:r w:rsidR="00AE2BDA" w:rsidRPr="006936DE">
        <w:rPr>
          <w:rFonts w:ascii="Arial" w:eastAsiaTheme="minorEastAsia" w:hAnsi="Arial" w:cs="Arial"/>
        </w:rPr>
        <w:t>factors</w:t>
      </w:r>
      <w:r w:rsidR="006748D1" w:rsidRPr="006936DE">
        <w:rPr>
          <w:rFonts w:ascii="Arial" w:eastAsiaTheme="minorEastAsia" w:hAnsi="Arial" w:cs="Arial"/>
        </w:rPr>
        <w:t xml:space="preserve">. These factors however cannot be </w:t>
      </w:r>
      <w:r w:rsidR="00AA3F0B" w:rsidRPr="006936DE">
        <w:rPr>
          <w:rFonts w:ascii="Arial" w:eastAsiaTheme="minorEastAsia" w:hAnsi="Arial" w:cs="Arial"/>
        </w:rPr>
        <w:t>applied</w:t>
      </w:r>
      <w:r w:rsidR="006748D1" w:rsidRPr="006936DE">
        <w:rPr>
          <w:rFonts w:ascii="Arial" w:eastAsiaTheme="minorEastAsia" w:hAnsi="Arial" w:cs="Arial"/>
        </w:rPr>
        <w:t xml:space="preserve"> to eliminate the bonds from the sample as they are observed post factum after the valuation date of the yield term structure. The market bond prices typically respond much faster </w:t>
      </w:r>
      <w:r w:rsidR="00AA3F0B" w:rsidRPr="006936DE">
        <w:rPr>
          <w:rFonts w:ascii="Arial" w:eastAsiaTheme="minorEastAsia" w:hAnsi="Arial" w:cs="Arial"/>
        </w:rPr>
        <w:t xml:space="preserve">to the negative news </w:t>
      </w:r>
      <w:r w:rsidR="00570AAA" w:rsidRPr="006936DE">
        <w:rPr>
          <w:rFonts w:ascii="Arial" w:eastAsiaTheme="minorEastAsia" w:hAnsi="Arial" w:cs="Arial"/>
        </w:rPr>
        <w:t xml:space="preserve">and </w:t>
      </w:r>
      <w:r w:rsidR="006748D1" w:rsidRPr="006936DE">
        <w:rPr>
          <w:rFonts w:ascii="Arial" w:eastAsiaTheme="minorEastAsia" w:hAnsi="Arial" w:cs="Arial"/>
        </w:rPr>
        <w:t>the rating agencies update the bond credit ratings</w:t>
      </w:r>
      <w:r w:rsidR="00570AAA" w:rsidRPr="006936DE">
        <w:rPr>
          <w:rFonts w:ascii="Arial" w:eastAsiaTheme="minorEastAsia" w:hAnsi="Arial" w:cs="Arial"/>
        </w:rPr>
        <w:t xml:space="preserve"> post factum when the yield rates on the bonds are </w:t>
      </w:r>
      <w:r w:rsidR="00C952F7" w:rsidRPr="006936DE">
        <w:rPr>
          <w:rFonts w:ascii="Arial" w:eastAsiaTheme="minorEastAsia" w:hAnsi="Arial" w:cs="Arial"/>
        </w:rPr>
        <w:t xml:space="preserve">already </w:t>
      </w:r>
      <w:r w:rsidR="00570AAA" w:rsidRPr="006936DE">
        <w:rPr>
          <w:rFonts w:ascii="Arial" w:eastAsiaTheme="minorEastAsia" w:hAnsi="Arial" w:cs="Arial"/>
        </w:rPr>
        <w:t xml:space="preserve">significantly higher than the market yields </w:t>
      </w:r>
      <w:r w:rsidR="00C952F7" w:rsidRPr="006936DE">
        <w:rPr>
          <w:rFonts w:ascii="Arial" w:eastAsiaTheme="minorEastAsia" w:hAnsi="Arial" w:cs="Arial"/>
        </w:rPr>
        <w:t xml:space="preserve">on the bonds </w:t>
      </w:r>
      <w:r w:rsidR="00570AAA" w:rsidRPr="006936DE">
        <w:rPr>
          <w:rFonts w:ascii="Arial" w:eastAsiaTheme="minorEastAsia" w:hAnsi="Arial" w:cs="Arial"/>
        </w:rPr>
        <w:t>with the same credit rating profile</w:t>
      </w:r>
      <w:r w:rsidR="006748D1" w:rsidRPr="006936DE">
        <w:rPr>
          <w:rFonts w:ascii="Arial" w:eastAsiaTheme="minorEastAsia" w:hAnsi="Arial" w:cs="Arial"/>
        </w:rPr>
        <w:t>.</w:t>
      </w:r>
    </w:p>
    <w:p w:rsidR="00E70D70" w:rsidRPr="006936DE" w:rsidRDefault="00E70D70" w:rsidP="009B6806">
      <w:pPr>
        <w:pStyle w:val="IFRS9Text"/>
        <w:spacing w:line="240" w:lineRule="atLeast"/>
        <w:ind w:left="142"/>
        <w:rPr>
          <w:rFonts w:ascii="Arial" w:eastAsiaTheme="minorEastAsia" w:hAnsi="Arial" w:cs="Arial"/>
        </w:rPr>
      </w:pPr>
      <w:r w:rsidRPr="006936DE">
        <w:rPr>
          <w:rFonts w:ascii="Arial" w:eastAsiaTheme="minorEastAsia" w:hAnsi="Arial" w:cs="Arial"/>
        </w:rPr>
        <w:t xml:space="preserve">Presence of the outliers in the sample results in the biased and unstable estimation of the yield term structure. </w:t>
      </w:r>
      <w:r w:rsidR="00B61962" w:rsidRPr="006936DE">
        <w:rPr>
          <w:rFonts w:ascii="Arial" w:eastAsiaTheme="minorEastAsia" w:hAnsi="Arial" w:cs="Arial"/>
        </w:rPr>
        <w:t xml:space="preserve">Therefore we apply the following procedure to remove the outliers from the </w:t>
      </w:r>
      <w:r w:rsidR="00B73746">
        <w:rPr>
          <w:rFonts w:ascii="Arial" w:eastAsiaTheme="minorEastAsia" w:hAnsi="Arial" w:cs="Arial"/>
        </w:rPr>
        <w:t xml:space="preserve">final </w:t>
      </w:r>
      <w:r w:rsidR="00B61962" w:rsidRPr="006936DE">
        <w:rPr>
          <w:rFonts w:ascii="Arial" w:eastAsiaTheme="minorEastAsia" w:hAnsi="Arial" w:cs="Arial"/>
        </w:rPr>
        <w:t>sample.</w:t>
      </w:r>
    </w:p>
    <w:p w:rsidR="002F439C" w:rsidRPr="006936DE" w:rsidRDefault="002F439C" w:rsidP="002F439C">
      <w:pPr>
        <w:pStyle w:val="IFRS9Text"/>
        <w:numPr>
          <w:ilvl w:val="0"/>
          <w:numId w:val="3"/>
        </w:numPr>
        <w:spacing w:line="240" w:lineRule="atLeast"/>
        <w:rPr>
          <w:rFonts w:ascii="Arial" w:eastAsiaTheme="minorEastAsia" w:hAnsi="Arial" w:cs="Arial"/>
        </w:rPr>
      </w:pPr>
      <w:r w:rsidRPr="006936DE">
        <w:rPr>
          <w:rFonts w:ascii="Arial" w:eastAsiaTheme="minorEastAsia" w:hAnsi="Arial" w:cs="Arial"/>
        </w:rPr>
        <w:t xml:space="preserve">Estimate parameters </w:t>
      </w:r>
      <m:oMath>
        <m:sSub>
          <m:sSubPr>
            <m:ctrlPr>
              <w:rPr>
                <w:rFonts w:ascii="Cambria Math" w:hAnsi="Cambria Math" w:cs="Arial"/>
                <w:i/>
              </w:rPr>
            </m:ctrlPr>
          </m:sSubPr>
          <m:e>
            <m:r>
              <w:rPr>
                <w:rFonts w:ascii="Cambria Math" w:hAnsi="Cambria Math" w:cs="Arial"/>
              </w:rPr>
              <m:t>f</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f</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f</m:t>
            </m:r>
          </m:e>
          <m:sub>
            <m:r>
              <w:rPr>
                <w:rFonts w:ascii="Cambria Math" w:hAnsi="Cambria Math" w:cs="Arial"/>
              </w:rPr>
              <m:t>3</m:t>
            </m:r>
          </m:sub>
        </m:sSub>
      </m:oMath>
      <w:r w:rsidRPr="006936DE">
        <w:rPr>
          <w:rFonts w:ascii="Arial" w:hAnsi="Arial" w:cs="Arial"/>
        </w:rPr>
        <w:t xml:space="preserve"> and </w:t>
      </w:r>
      <m:oMath>
        <m:r>
          <w:rPr>
            <w:rFonts w:ascii="Cambria Math" w:hAnsi="Cambria Math" w:cs="Arial"/>
          </w:rPr>
          <m:t>α</m:t>
        </m:r>
      </m:oMath>
      <w:r w:rsidRPr="006936DE">
        <w:rPr>
          <w:rFonts w:ascii="Arial" w:eastAsiaTheme="minorEastAsia" w:hAnsi="Arial" w:cs="Arial"/>
        </w:rPr>
        <w:t xml:space="preserve"> of the </w:t>
      </w:r>
      <w:r w:rsidRPr="006936DE">
        <w:rPr>
          <w:rFonts w:ascii="Arial" w:hAnsi="Arial" w:cs="Arial"/>
          <w:lang w:val="en-CA"/>
        </w:rPr>
        <w:t>Nelson-Siegel family of parametrized curves as described above;</w:t>
      </w:r>
    </w:p>
    <w:p w:rsidR="002F439C" w:rsidRPr="006936DE" w:rsidRDefault="002F439C" w:rsidP="002F439C">
      <w:pPr>
        <w:pStyle w:val="IFRS9Text"/>
        <w:numPr>
          <w:ilvl w:val="0"/>
          <w:numId w:val="3"/>
        </w:numPr>
        <w:spacing w:line="240" w:lineRule="atLeast"/>
        <w:rPr>
          <w:rFonts w:ascii="Arial" w:eastAsiaTheme="minorEastAsia" w:hAnsi="Arial" w:cs="Arial"/>
        </w:rPr>
      </w:pPr>
      <w:r w:rsidRPr="006936DE">
        <w:rPr>
          <w:rFonts w:ascii="Arial" w:hAnsi="Arial" w:cs="Arial"/>
          <w:lang w:val="en-CA"/>
        </w:rPr>
        <w:t xml:space="preserve">Identify the bond </w:t>
      </w:r>
      <m:oMath>
        <m:r>
          <w:rPr>
            <w:rFonts w:ascii="Cambria Math" w:hAnsi="Cambria Math" w:cs="Arial"/>
            <w:lang w:val="en-CA"/>
          </w:rPr>
          <m:t>i</m:t>
        </m:r>
      </m:oMath>
      <w:r w:rsidRPr="006936DE">
        <w:rPr>
          <w:rFonts w:ascii="Arial" w:hAnsi="Arial" w:cs="Arial"/>
          <w:lang w:val="en-CA"/>
        </w:rPr>
        <w:t xml:space="preserve"> </w:t>
      </w:r>
      <w:r w:rsidRPr="006936DE">
        <w:rPr>
          <w:rFonts w:ascii="Arial" w:hAnsi="Arial" w:cs="Arial"/>
        </w:rPr>
        <w:t xml:space="preserve">with the largest absolute value of the error term </w:t>
      </w:r>
      <m:oMath>
        <m:sSub>
          <m:sSubPr>
            <m:ctrlPr>
              <w:rPr>
                <w:rFonts w:ascii="Cambria Math" w:hAnsi="Cambria Math" w:cs="Arial"/>
                <w:i/>
              </w:rPr>
            </m:ctrlPr>
          </m:sSubPr>
          <m:e>
            <m:r>
              <w:rPr>
                <w:rFonts w:ascii="Cambria Math" w:hAnsi="Cambria Math" w:cs="Arial"/>
              </w:rPr>
              <m:t>ε</m:t>
            </m:r>
          </m:e>
          <m:sub>
            <m:r>
              <w:rPr>
                <w:rFonts w:ascii="Cambria Math" w:hAnsi="Cambria Math" w:cs="Arial"/>
              </w:rPr>
              <m:t>i</m:t>
            </m:r>
          </m:sub>
        </m:sSub>
      </m:oMath>
      <w:r w:rsidRPr="006936DE">
        <w:rPr>
          <w:rFonts w:ascii="Arial" w:hAnsi="Arial" w:cs="Arial"/>
        </w:rPr>
        <w:t xml:space="preserve">  (which measures the deviation of the yield rate </w:t>
      </w:r>
      <m:oMath>
        <m:sSub>
          <m:sSubPr>
            <m:ctrlPr>
              <w:rPr>
                <w:rFonts w:ascii="Cambria Math" w:hAnsi="Cambria Math" w:cs="Arial"/>
                <w:i/>
              </w:rPr>
            </m:ctrlPr>
          </m:sSubPr>
          <m:e>
            <m:r>
              <w:rPr>
                <w:rFonts w:ascii="Cambria Math" w:hAnsi="Cambria Math" w:cs="Arial"/>
              </w:rPr>
              <m:t>y</m:t>
            </m:r>
          </m:e>
          <m:sub>
            <m:r>
              <w:rPr>
                <w:rFonts w:ascii="Cambria Math" w:hAnsi="Cambria Math" w:cs="Arial"/>
              </w:rPr>
              <m:t>i</m:t>
            </m:r>
          </m:sub>
        </m:sSub>
      </m:oMath>
      <w:r w:rsidRPr="006936DE">
        <w:rPr>
          <w:rFonts w:ascii="Arial" w:hAnsi="Arial" w:cs="Arial"/>
        </w:rPr>
        <w:t xml:space="preserve"> from the estimated term structure);</w:t>
      </w:r>
    </w:p>
    <w:p w:rsidR="00B61962" w:rsidRPr="006936DE" w:rsidRDefault="002F439C" w:rsidP="002F439C">
      <w:pPr>
        <w:pStyle w:val="IFRS9Text"/>
        <w:numPr>
          <w:ilvl w:val="0"/>
          <w:numId w:val="3"/>
        </w:numPr>
        <w:spacing w:line="240" w:lineRule="atLeast"/>
        <w:rPr>
          <w:rFonts w:ascii="Arial" w:eastAsiaTheme="minorEastAsia" w:hAnsi="Arial" w:cs="Arial"/>
        </w:rPr>
      </w:pPr>
      <w:r w:rsidRPr="006936DE">
        <w:rPr>
          <w:rFonts w:ascii="Arial" w:hAnsi="Arial" w:cs="Arial"/>
        </w:rPr>
        <w:t xml:space="preserve">Remove bond </w:t>
      </w:r>
      <m:oMath>
        <m:r>
          <w:rPr>
            <w:rFonts w:ascii="Cambria Math" w:hAnsi="Cambria Math" w:cs="Arial"/>
          </w:rPr>
          <m:t>i</m:t>
        </m:r>
      </m:oMath>
      <w:r w:rsidRPr="006936DE">
        <w:rPr>
          <w:rFonts w:ascii="Arial" w:hAnsi="Arial" w:cs="Arial"/>
        </w:rPr>
        <w:t xml:space="preserve"> from the sample and repeat from step 1 until all error terms </w:t>
      </w:r>
      <m:oMath>
        <m:sSub>
          <m:sSubPr>
            <m:ctrlPr>
              <w:rPr>
                <w:rFonts w:ascii="Cambria Math" w:hAnsi="Cambria Math" w:cs="Arial"/>
                <w:i/>
              </w:rPr>
            </m:ctrlPr>
          </m:sSubPr>
          <m:e>
            <m:r>
              <w:rPr>
                <w:rFonts w:ascii="Cambria Math" w:hAnsi="Cambria Math" w:cs="Arial"/>
              </w:rPr>
              <m:t>ε</m:t>
            </m:r>
          </m:e>
          <m:sub>
            <m:r>
              <w:rPr>
                <w:rFonts w:ascii="Cambria Math" w:hAnsi="Cambria Math" w:cs="Arial"/>
              </w:rPr>
              <m:t>i</m:t>
            </m:r>
          </m:sub>
        </m:sSub>
      </m:oMath>
      <w:r w:rsidRPr="006936DE">
        <w:rPr>
          <w:rFonts w:ascii="Arial" w:hAnsi="Arial" w:cs="Arial"/>
        </w:rPr>
        <w:t xml:space="preserve"> are </w:t>
      </w:r>
      <w:r w:rsidR="005D5785">
        <w:rPr>
          <w:rFonts w:ascii="Arial" w:hAnsi="Arial" w:cs="Arial"/>
        </w:rPr>
        <w:t>less</w:t>
      </w:r>
      <w:r w:rsidRPr="006936DE">
        <w:rPr>
          <w:rFonts w:ascii="Arial" w:hAnsi="Arial" w:cs="Arial"/>
        </w:rPr>
        <w:t xml:space="preserve"> in absolute value than </w:t>
      </w:r>
      <w:r w:rsidR="00803FB6" w:rsidRPr="006936DE">
        <w:rPr>
          <w:rFonts w:ascii="Arial" w:hAnsi="Arial" w:cs="Arial"/>
        </w:rPr>
        <w:t>a certain</w:t>
      </w:r>
      <w:r w:rsidRPr="006936DE">
        <w:rPr>
          <w:rFonts w:ascii="Arial" w:hAnsi="Arial" w:cs="Arial"/>
        </w:rPr>
        <w:t xml:space="preserve"> selected threshold value.</w:t>
      </w:r>
    </w:p>
    <w:p w:rsidR="00D877D3" w:rsidRPr="006936DE" w:rsidRDefault="00D877D3" w:rsidP="00812312">
      <w:pPr>
        <w:pStyle w:val="IFRS9Text"/>
        <w:spacing w:line="240" w:lineRule="atLeast"/>
        <w:ind w:left="142"/>
        <w:rPr>
          <w:rFonts w:ascii="Arial" w:eastAsiaTheme="minorEastAsia" w:hAnsi="Arial" w:cs="Arial"/>
        </w:rPr>
      </w:pPr>
      <w:r w:rsidRPr="006936DE">
        <w:rPr>
          <w:rFonts w:ascii="Arial" w:eastAsiaTheme="minorEastAsia" w:hAnsi="Arial" w:cs="Arial"/>
        </w:rPr>
        <w:t>To summarize, the term structure of the yield rates was estimated as follows:</w:t>
      </w:r>
    </w:p>
    <w:p w:rsidR="00D877D3" w:rsidRPr="006936DE" w:rsidRDefault="00E64838" w:rsidP="00B61962">
      <w:pPr>
        <w:pStyle w:val="IFRS9Text"/>
        <w:numPr>
          <w:ilvl w:val="0"/>
          <w:numId w:val="2"/>
        </w:numPr>
        <w:spacing w:line="240" w:lineRule="atLeast"/>
        <w:ind w:left="862" w:hanging="357"/>
        <w:rPr>
          <w:rFonts w:ascii="Arial" w:eastAsiaTheme="minorEastAsia" w:hAnsi="Arial" w:cs="Arial"/>
        </w:rPr>
      </w:pPr>
      <w:r>
        <w:rPr>
          <w:rFonts w:ascii="Arial" w:eastAsiaTheme="minorEastAsia" w:hAnsi="Arial" w:cs="Arial"/>
        </w:rPr>
        <w:t>We s</w:t>
      </w:r>
      <w:r w:rsidR="00D877D3" w:rsidRPr="006936DE">
        <w:rPr>
          <w:rFonts w:ascii="Arial" w:eastAsiaTheme="minorEastAsia" w:hAnsi="Arial" w:cs="Arial"/>
        </w:rPr>
        <w:t>earch</w:t>
      </w:r>
      <w:r>
        <w:rPr>
          <w:rFonts w:ascii="Arial" w:eastAsiaTheme="minorEastAsia" w:hAnsi="Arial" w:cs="Arial"/>
        </w:rPr>
        <w:t>ed</w:t>
      </w:r>
      <w:r w:rsidR="00D877D3" w:rsidRPr="006936DE">
        <w:rPr>
          <w:rFonts w:ascii="Arial" w:eastAsiaTheme="minorEastAsia" w:hAnsi="Arial" w:cs="Arial"/>
        </w:rPr>
        <w:t xml:space="preserve"> for the US$ denominated bonds issued in US and Canada by companies operating in broad industrial sector that have a Caa2/CCC credit rating </w:t>
      </w:r>
      <w:r w:rsidR="007C09BC" w:rsidRPr="006936DE">
        <w:rPr>
          <w:rFonts w:ascii="Arial" w:eastAsiaTheme="minorEastAsia" w:hAnsi="Arial" w:cs="Arial"/>
        </w:rPr>
        <w:t xml:space="preserve">reported </w:t>
      </w:r>
      <w:r w:rsidR="00D877D3" w:rsidRPr="006936DE">
        <w:rPr>
          <w:rFonts w:ascii="Arial" w:eastAsiaTheme="minorEastAsia" w:hAnsi="Arial" w:cs="Arial"/>
        </w:rPr>
        <w:t xml:space="preserve">consistently by both Moody’s and S&amp;P rating agencies. Estimate the yield rates </w:t>
      </w:r>
      <m:oMath>
        <m:d>
          <m:dPr>
            <m:begChr m:val="{"/>
            <m:endChr m:val="}"/>
            <m:ctrlPr>
              <w:rPr>
                <w:rFonts w:ascii="Cambria Math" w:hAnsi="Cambria Math" w:cs="Arial"/>
                <w:i/>
              </w:rPr>
            </m:ctrlPr>
          </m:dPr>
          <m:e>
            <m:sSub>
              <m:sSubPr>
                <m:ctrlPr>
                  <w:rPr>
                    <w:rFonts w:ascii="Cambria Math" w:hAnsi="Cambria Math" w:cs="Arial"/>
                    <w:i/>
                  </w:rPr>
                </m:ctrlPr>
              </m:sSubPr>
              <m:e>
                <m:r>
                  <w:rPr>
                    <w:rFonts w:ascii="Cambria Math" w:hAnsi="Cambria Math" w:cs="Arial"/>
                  </w:rPr>
                  <m:t>y</m:t>
                </m:r>
              </m:e>
              <m:sub>
                <m:r>
                  <w:rPr>
                    <w:rFonts w:ascii="Cambria Math" w:hAnsi="Cambria Math" w:cs="Arial"/>
                  </w:rPr>
                  <m:t>i</m:t>
                </m:r>
              </m:sub>
            </m:sSub>
          </m:e>
        </m:d>
      </m:oMath>
      <w:r w:rsidR="00D877D3" w:rsidRPr="006936DE">
        <w:rPr>
          <w:rFonts w:ascii="Arial" w:eastAsiaTheme="minorEastAsia" w:hAnsi="Arial" w:cs="Arial"/>
        </w:rPr>
        <w:t xml:space="preserve"> as of the valuation date of the analysis;</w:t>
      </w:r>
    </w:p>
    <w:p w:rsidR="00CE4283" w:rsidRPr="006936DE" w:rsidRDefault="00E64838" w:rsidP="00B61962">
      <w:pPr>
        <w:pStyle w:val="IFRS9Text"/>
        <w:numPr>
          <w:ilvl w:val="0"/>
          <w:numId w:val="2"/>
        </w:numPr>
        <w:spacing w:line="240" w:lineRule="atLeast"/>
        <w:ind w:left="862" w:hanging="357"/>
        <w:rPr>
          <w:rFonts w:ascii="Arial" w:eastAsiaTheme="minorEastAsia" w:hAnsi="Arial" w:cs="Arial"/>
        </w:rPr>
      </w:pPr>
      <w:r>
        <w:rPr>
          <w:rFonts w:ascii="Arial" w:eastAsiaTheme="minorEastAsia" w:hAnsi="Arial" w:cs="Arial"/>
        </w:rPr>
        <w:t>We r</w:t>
      </w:r>
      <w:r w:rsidR="00E46811" w:rsidRPr="006936DE">
        <w:rPr>
          <w:rFonts w:ascii="Arial" w:eastAsiaTheme="minorEastAsia" w:hAnsi="Arial" w:cs="Arial"/>
        </w:rPr>
        <w:t>emove</w:t>
      </w:r>
      <w:r>
        <w:rPr>
          <w:rFonts w:ascii="Arial" w:eastAsiaTheme="minorEastAsia" w:hAnsi="Arial" w:cs="Arial"/>
        </w:rPr>
        <w:t>d</w:t>
      </w:r>
      <w:r w:rsidR="00E46811" w:rsidRPr="006936DE">
        <w:rPr>
          <w:rFonts w:ascii="Arial" w:eastAsiaTheme="minorEastAsia" w:hAnsi="Arial" w:cs="Arial"/>
        </w:rPr>
        <w:t xml:space="preserve"> the outliers from the sample </w:t>
      </w:r>
      <w:r w:rsidR="00CE4283" w:rsidRPr="006936DE">
        <w:rPr>
          <w:rFonts w:ascii="Arial" w:hAnsi="Arial" w:cs="Arial"/>
          <w:lang w:val="en-CA"/>
        </w:rPr>
        <w:t>as described above;</w:t>
      </w:r>
    </w:p>
    <w:p w:rsidR="005F0461" w:rsidRPr="006936DE" w:rsidRDefault="00E64838" w:rsidP="00B61962">
      <w:pPr>
        <w:pStyle w:val="IFRS9Text"/>
        <w:numPr>
          <w:ilvl w:val="0"/>
          <w:numId w:val="2"/>
        </w:numPr>
        <w:spacing w:line="240" w:lineRule="atLeast"/>
        <w:ind w:left="862" w:hanging="357"/>
        <w:rPr>
          <w:rFonts w:ascii="Arial" w:eastAsiaTheme="minorEastAsia" w:hAnsi="Arial" w:cs="Arial"/>
        </w:rPr>
      </w:pPr>
      <w:r>
        <w:rPr>
          <w:rFonts w:ascii="Arial" w:hAnsi="Arial" w:cs="Arial"/>
        </w:rPr>
        <w:t xml:space="preserve">We </w:t>
      </w:r>
      <w:r w:rsidR="009A66CE">
        <w:rPr>
          <w:rFonts w:ascii="Arial" w:hAnsi="Arial" w:cs="Arial"/>
        </w:rPr>
        <w:t>estimated the</w:t>
      </w:r>
      <w:r w:rsidR="005F0461" w:rsidRPr="006936DE">
        <w:rPr>
          <w:rFonts w:ascii="Arial" w:hAnsi="Arial" w:cs="Arial"/>
        </w:rPr>
        <w:t xml:space="preserve"> yield term structure using </w:t>
      </w:r>
      <w:r w:rsidR="005F0461" w:rsidRPr="006936DE">
        <w:rPr>
          <w:rFonts w:ascii="Arial" w:hAnsi="Arial" w:cs="Arial"/>
          <w:lang w:val="en-CA"/>
        </w:rPr>
        <w:t xml:space="preserve">Nelson-Siegel family of parametrized curves and a final sample of bond yield rates </w:t>
      </w:r>
      <m:oMath>
        <m:d>
          <m:dPr>
            <m:begChr m:val="{"/>
            <m:endChr m:val="}"/>
            <m:ctrlPr>
              <w:rPr>
                <w:rFonts w:ascii="Cambria Math" w:hAnsi="Cambria Math" w:cs="Arial"/>
                <w:i/>
              </w:rPr>
            </m:ctrlPr>
          </m:dPr>
          <m:e>
            <m:sSub>
              <m:sSubPr>
                <m:ctrlPr>
                  <w:rPr>
                    <w:rFonts w:ascii="Cambria Math" w:hAnsi="Cambria Math" w:cs="Arial"/>
                    <w:i/>
                  </w:rPr>
                </m:ctrlPr>
              </m:sSubPr>
              <m:e>
                <m:r>
                  <w:rPr>
                    <w:rFonts w:ascii="Cambria Math" w:hAnsi="Cambria Math" w:cs="Arial"/>
                  </w:rPr>
                  <m:t>y</m:t>
                </m:r>
              </m:e>
              <m:sub>
                <m:r>
                  <w:rPr>
                    <w:rFonts w:ascii="Cambria Math" w:hAnsi="Cambria Math" w:cs="Arial"/>
                  </w:rPr>
                  <m:t>i</m:t>
                </m:r>
              </m:sub>
            </m:sSub>
          </m:e>
        </m:d>
      </m:oMath>
      <w:r w:rsidR="005F0461" w:rsidRPr="006936DE">
        <w:rPr>
          <w:rFonts w:ascii="Arial" w:hAnsi="Arial" w:cs="Arial"/>
        </w:rPr>
        <w:t>.</w:t>
      </w:r>
    </w:p>
    <w:p w:rsidR="008B0FDD" w:rsidRDefault="005F0461" w:rsidP="00812312">
      <w:pPr>
        <w:pStyle w:val="IFRS9Text"/>
        <w:spacing w:line="240" w:lineRule="atLeast"/>
        <w:ind w:left="142"/>
        <w:rPr>
          <w:rFonts w:ascii="Arial" w:hAnsi="Arial" w:cs="Arial"/>
        </w:rPr>
      </w:pPr>
      <w:r w:rsidRPr="006936DE">
        <w:rPr>
          <w:rFonts w:ascii="Arial" w:hAnsi="Arial" w:cs="Arial"/>
        </w:rPr>
        <w:t>The estimated term structure for the CCC rated industrial yield rates is presented in the exhibit below</w:t>
      </w:r>
      <w:r w:rsidR="00F11944">
        <w:rPr>
          <w:rFonts w:ascii="Arial" w:hAnsi="Arial" w:cs="Arial"/>
        </w:rPr>
        <w:t>.</w:t>
      </w:r>
    </w:p>
    <w:tbl>
      <w:tblPr>
        <w:tblStyle w:val="TableGrid"/>
        <w:tblW w:w="0" w:type="auto"/>
        <w:tblInd w:w="142" w:type="dxa"/>
        <w:tblLook w:val="04A0" w:firstRow="1" w:lastRow="0" w:firstColumn="1" w:lastColumn="0" w:noHBand="0" w:noVBand="1"/>
      </w:tblPr>
      <w:tblGrid>
        <w:gridCol w:w="9208"/>
      </w:tblGrid>
      <w:tr w:rsidR="008B0FDD" w:rsidRPr="008B0FDD" w:rsidTr="008B0FDD">
        <w:tc>
          <w:tcPr>
            <w:tcW w:w="9208" w:type="dxa"/>
            <w:shd w:val="clear" w:color="auto" w:fill="000000" w:themeFill="text1"/>
            <w:tcMar>
              <w:top w:w="57" w:type="dxa"/>
              <w:left w:w="57" w:type="dxa"/>
              <w:bottom w:w="57" w:type="dxa"/>
              <w:right w:w="57" w:type="dxa"/>
            </w:tcMar>
          </w:tcPr>
          <w:p w:rsidR="008B0FDD" w:rsidRPr="008B0FDD" w:rsidRDefault="008B0FDD" w:rsidP="008B0FDD">
            <w:pPr>
              <w:pStyle w:val="IFRS9Text"/>
              <w:spacing w:after="0" w:line="240" w:lineRule="atLeast"/>
              <w:ind w:left="0"/>
              <w:rPr>
                <w:rFonts w:ascii="Arial" w:hAnsi="Arial" w:cs="Arial"/>
                <w:b/>
              </w:rPr>
            </w:pPr>
            <w:r>
              <w:rPr>
                <w:rFonts w:ascii="Arial" w:hAnsi="Arial" w:cs="Arial"/>
                <w:b/>
              </w:rPr>
              <w:t>Term structure of CCC rated yield rates</w:t>
            </w:r>
          </w:p>
        </w:tc>
      </w:tr>
      <w:tr w:rsidR="008B0FDD" w:rsidTr="008B0FDD">
        <w:tc>
          <w:tcPr>
            <w:tcW w:w="9208" w:type="dxa"/>
          </w:tcPr>
          <w:p w:rsidR="008B0FDD" w:rsidRDefault="008B0FDD" w:rsidP="008B0FDD">
            <w:pPr>
              <w:pStyle w:val="IFRS9Text"/>
              <w:spacing w:after="0" w:line="240" w:lineRule="atLeast"/>
              <w:ind w:left="0"/>
              <w:rPr>
                <w:rFonts w:ascii="Arial" w:hAnsi="Arial" w:cs="Arial"/>
              </w:rPr>
            </w:pPr>
            <w:r>
              <w:rPr>
                <w:noProof/>
                <w:lang w:val="en-CA" w:eastAsia="en-CA"/>
              </w:rPr>
              <w:drawing>
                <wp:inline distT="0" distB="0" distL="0" distR="0" wp14:anchorId="7A273C78" wp14:editId="0D12CA61">
                  <wp:extent cx="5689600" cy="2197100"/>
                  <wp:effectExtent l="0" t="0" r="635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35515B" w:rsidRDefault="00227AC8" w:rsidP="008B0FDD">
      <w:pPr>
        <w:pStyle w:val="IFRS9Text"/>
        <w:spacing w:before="240" w:line="240" w:lineRule="atLeast"/>
        <w:ind w:left="142"/>
        <w:rPr>
          <w:rFonts w:ascii="Arial" w:hAnsi="Arial" w:cs="Arial"/>
        </w:rPr>
      </w:pPr>
      <w:r>
        <w:rPr>
          <w:rFonts w:ascii="Arial" w:hAnsi="Arial" w:cs="Arial"/>
        </w:rPr>
        <w:t xml:space="preserve"> </w:t>
      </w:r>
      <w:r w:rsidR="00F11944">
        <w:rPr>
          <w:rFonts w:ascii="Arial" w:hAnsi="Arial" w:cs="Arial"/>
        </w:rPr>
        <w:t>Exhibit below shows the yield rates retained in the final sample, yield rates retained in the final sample, and the yields fitted using Nelson-Siegel family of parametrized curves (</w:t>
      </w:r>
      <w:r>
        <w:rPr>
          <w:rFonts w:ascii="Arial" w:hAnsi="Arial" w:cs="Arial"/>
        </w:rPr>
        <w:t>left panel)</w:t>
      </w:r>
      <w:r w:rsidR="005F0461" w:rsidRPr="006936DE">
        <w:rPr>
          <w:rFonts w:ascii="Arial" w:hAnsi="Arial" w:cs="Arial"/>
        </w:rPr>
        <w:t>.</w:t>
      </w:r>
      <w:r>
        <w:rPr>
          <w:rFonts w:ascii="Arial" w:hAnsi="Arial" w:cs="Arial"/>
        </w:rPr>
        <w:t xml:space="preserve"> The exhibit shows also the outliers eliminated from the final sample (right panel).</w:t>
      </w:r>
      <w:r w:rsidR="00CD2E4B">
        <w:rPr>
          <w:rFonts w:ascii="Arial" w:hAnsi="Arial" w:cs="Arial"/>
        </w:rPr>
        <w:t xml:space="preserve"> In total 15 bonds were retained in the final sample and 13 bonds were eliminated.</w:t>
      </w:r>
    </w:p>
    <w:tbl>
      <w:tblPr>
        <w:tblStyle w:val="TableGrid"/>
        <w:tblW w:w="0" w:type="auto"/>
        <w:tblInd w:w="142" w:type="dxa"/>
        <w:tblLook w:val="04A0" w:firstRow="1" w:lastRow="0" w:firstColumn="1" w:lastColumn="0" w:noHBand="0" w:noVBand="1"/>
      </w:tblPr>
      <w:tblGrid>
        <w:gridCol w:w="4797"/>
        <w:gridCol w:w="4411"/>
      </w:tblGrid>
      <w:tr w:rsidR="00037E17" w:rsidRPr="00037E17" w:rsidTr="00CC5FB7">
        <w:trPr>
          <w:tblHeader/>
        </w:trPr>
        <w:tc>
          <w:tcPr>
            <w:tcW w:w="9208" w:type="dxa"/>
            <w:gridSpan w:val="2"/>
            <w:shd w:val="clear" w:color="auto" w:fill="000000" w:themeFill="text1"/>
            <w:tcMar>
              <w:top w:w="57" w:type="dxa"/>
              <w:left w:w="57" w:type="dxa"/>
              <w:bottom w:w="57" w:type="dxa"/>
              <w:right w:w="57" w:type="dxa"/>
            </w:tcMar>
          </w:tcPr>
          <w:p w:rsidR="00037E17" w:rsidRPr="00037E17" w:rsidRDefault="00037E17" w:rsidP="00CC5FB7">
            <w:pPr>
              <w:pStyle w:val="IFRS9Text"/>
              <w:spacing w:after="0" w:line="240" w:lineRule="atLeast"/>
              <w:ind w:left="0"/>
              <w:jc w:val="left"/>
              <w:rPr>
                <w:rFonts w:ascii="Arial" w:hAnsi="Arial" w:cs="Arial"/>
                <w:b/>
              </w:rPr>
            </w:pPr>
            <w:r>
              <w:rPr>
                <w:rFonts w:ascii="Arial" w:hAnsi="Arial" w:cs="Arial"/>
                <w:b/>
              </w:rPr>
              <w:lastRenderedPageBreak/>
              <w:t>Term structure of US$ CCC rated yield rates (left panel) and yield rate outliers eliminated from the final sample (right panel)</w:t>
            </w:r>
          </w:p>
        </w:tc>
      </w:tr>
      <w:tr w:rsidR="0011781C" w:rsidTr="0011781C">
        <w:tc>
          <w:tcPr>
            <w:tcW w:w="5256" w:type="dxa"/>
          </w:tcPr>
          <w:p w:rsidR="00037E17" w:rsidRDefault="0011781C" w:rsidP="00037E17">
            <w:pPr>
              <w:pStyle w:val="IFRS9Text"/>
              <w:spacing w:after="0" w:line="240" w:lineRule="atLeast"/>
              <w:ind w:left="0"/>
              <w:rPr>
                <w:rFonts w:ascii="Arial" w:hAnsi="Arial" w:cs="Arial"/>
              </w:rPr>
            </w:pPr>
            <w:r>
              <w:rPr>
                <w:noProof/>
                <w:lang w:val="en-CA" w:eastAsia="en-CA"/>
              </w:rPr>
              <w:drawing>
                <wp:inline distT="0" distB="0" distL="0" distR="0" wp14:anchorId="58E9B156" wp14:editId="4CEDBF52">
                  <wp:extent cx="2921000" cy="2228850"/>
                  <wp:effectExtent l="0" t="0" r="1270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3952" w:type="dxa"/>
          </w:tcPr>
          <w:p w:rsidR="00037E17" w:rsidRDefault="0011781C" w:rsidP="00037E17">
            <w:pPr>
              <w:pStyle w:val="IFRS9Text"/>
              <w:spacing w:after="0" w:line="240" w:lineRule="atLeast"/>
              <w:ind w:left="0"/>
              <w:rPr>
                <w:rFonts w:ascii="Arial" w:hAnsi="Arial" w:cs="Arial"/>
              </w:rPr>
            </w:pPr>
            <w:r>
              <w:rPr>
                <w:noProof/>
                <w:lang w:val="en-CA" w:eastAsia="en-CA"/>
              </w:rPr>
              <w:drawing>
                <wp:inline distT="0" distB="0" distL="0" distR="0" wp14:anchorId="50407A12" wp14:editId="7C7802E0">
                  <wp:extent cx="2686050" cy="2273300"/>
                  <wp:effectExtent l="0" t="0" r="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5F0461" w:rsidRPr="006936DE" w:rsidRDefault="0035515B" w:rsidP="001B7E3C">
      <w:pPr>
        <w:pStyle w:val="IFRS9Text"/>
        <w:spacing w:before="240" w:line="240" w:lineRule="atLeast"/>
        <w:ind w:left="142" w:right="4"/>
        <w:rPr>
          <w:rFonts w:ascii="Arial" w:eastAsiaTheme="minorEastAsia" w:hAnsi="Arial" w:cs="Arial"/>
        </w:rPr>
      </w:pPr>
      <w:r>
        <w:rPr>
          <w:rFonts w:ascii="Arial" w:hAnsi="Arial" w:cs="Arial"/>
        </w:rPr>
        <w:t>The final sample of CCC rated bonds used to construct the term structure is summarized in the exhibit below.</w:t>
      </w:r>
      <w:r w:rsidR="005F0461" w:rsidRPr="006936DE">
        <w:rPr>
          <w:rFonts w:ascii="Arial" w:hAnsi="Arial" w:cs="Arial"/>
        </w:rPr>
        <w:t xml:space="preserve"> </w:t>
      </w:r>
    </w:p>
    <w:tbl>
      <w:tblPr>
        <w:tblStyle w:val="TableGrid"/>
        <w:tblW w:w="9071" w:type="dxa"/>
        <w:jc w:val="center"/>
        <w:tblLook w:val="04A0" w:firstRow="1" w:lastRow="0" w:firstColumn="1" w:lastColumn="0" w:noHBand="0" w:noVBand="1"/>
      </w:tblPr>
      <w:tblGrid>
        <w:gridCol w:w="421"/>
        <w:gridCol w:w="1417"/>
        <w:gridCol w:w="2977"/>
        <w:gridCol w:w="1294"/>
        <w:gridCol w:w="974"/>
        <w:gridCol w:w="1134"/>
        <w:gridCol w:w="854"/>
      </w:tblGrid>
      <w:tr w:rsidR="00CC5FB7" w:rsidTr="00992649">
        <w:trPr>
          <w:tblHeader/>
          <w:jc w:val="center"/>
        </w:trPr>
        <w:tc>
          <w:tcPr>
            <w:tcW w:w="9071" w:type="dxa"/>
            <w:gridSpan w:val="7"/>
            <w:tcBorders>
              <w:bottom w:val="single" w:sz="4" w:space="0" w:color="auto"/>
            </w:tcBorders>
            <w:shd w:val="clear" w:color="auto" w:fill="000000" w:themeFill="text1"/>
            <w:tcMar>
              <w:top w:w="57" w:type="dxa"/>
              <w:left w:w="57" w:type="dxa"/>
              <w:bottom w:w="57" w:type="dxa"/>
              <w:right w:w="57" w:type="dxa"/>
            </w:tcMar>
            <w:vAlign w:val="center"/>
          </w:tcPr>
          <w:p w:rsidR="00CC5FB7" w:rsidRPr="00F140D8" w:rsidRDefault="00CC5FB7" w:rsidP="00CC5FB7">
            <w:pPr>
              <w:pStyle w:val="IFRS9Text"/>
              <w:spacing w:after="0" w:line="240" w:lineRule="atLeast"/>
              <w:ind w:left="142" w:right="4"/>
              <w:rPr>
                <w:rFonts w:ascii="Arial" w:eastAsiaTheme="minorEastAsia" w:hAnsi="Arial" w:cs="Arial"/>
                <w:b/>
              </w:rPr>
            </w:pPr>
            <w:r w:rsidRPr="00F140D8">
              <w:rPr>
                <w:rFonts w:ascii="Arial" w:eastAsiaTheme="minorEastAsia" w:hAnsi="Arial" w:cs="Arial"/>
                <w:b/>
              </w:rPr>
              <w:t>Final sample of CCC rated bonds used to construct the term structure of CCC rated yield rates</w:t>
            </w:r>
          </w:p>
        </w:tc>
      </w:tr>
      <w:tr w:rsidR="00992649" w:rsidTr="00992649">
        <w:trPr>
          <w:tblHeader/>
          <w:jc w:val="center"/>
        </w:trPr>
        <w:tc>
          <w:tcPr>
            <w:tcW w:w="421" w:type="dxa"/>
            <w:shd w:val="clear" w:color="auto" w:fill="808080" w:themeFill="background1" w:themeFillShade="80"/>
            <w:tcMar>
              <w:top w:w="57" w:type="dxa"/>
              <w:left w:w="28" w:type="dxa"/>
              <w:bottom w:w="57" w:type="dxa"/>
              <w:right w:w="28" w:type="dxa"/>
            </w:tcMar>
            <w:vAlign w:val="center"/>
          </w:tcPr>
          <w:p w:rsidR="00335720" w:rsidRPr="00F140D8" w:rsidRDefault="00335720" w:rsidP="00992649">
            <w:pPr>
              <w:pStyle w:val="IFRS9Text"/>
              <w:spacing w:after="0" w:line="240" w:lineRule="atLeast"/>
              <w:ind w:left="0" w:right="4"/>
              <w:jc w:val="center"/>
              <w:rPr>
                <w:rFonts w:ascii="Arial" w:eastAsiaTheme="minorEastAsia" w:hAnsi="Arial" w:cs="Arial"/>
                <w:b/>
                <w:color w:val="FFFFFF" w:themeColor="background1"/>
              </w:rPr>
            </w:pPr>
            <w:r>
              <w:rPr>
                <w:rFonts w:ascii="Arial" w:eastAsiaTheme="minorEastAsia" w:hAnsi="Arial" w:cs="Arial"/>
                <w:b/>
                <w:color w:val="FFFFFF" w:themeColor="background1"/>
              </w:rPr>
              <w:t>#</w:t>
            </w:r>
          </w:p>
        </w:tc>
        <w:tc>
          <w:tcPr>
            <w:tcW w:w="1417" w:type="dxa"/>
            <w:shd w:val="clear" w:color="auto" w:fill="808080" w:themeFill="background1" w:themeFillShade="80"/>
            <w:tcMar>
              <w:top w:w="57" w:type="dxa"/>
              <w:left w:w="28" w:type="dxa"/>
              <w:bottom w:w="57" w:type="dxa"/>
              <w:right w:w="28" w:type="dxa"/>
            </w:tcMar>
            <w:vAlign w:val="center"/>
          </w:tcPr>
          <w:p w:rsidR="00335720" w:rsidRPr="00F140D8" w:rsidRDefault="00335720" w:rsidP="00992649">
            <w:pPr>
              <w:pStyle w:val="IFRS9Text"/>
              <w:spacing w:after="0" w:line="240" w:lineRule="atLeast"/>
              <w:ind w:left="0" w:right="4"/>
              <w:rPr>
                <w:rFonts w:ascii="Arial" w:eastAsiaTheme="minorEastAsia" w:hAnsi="Arial" w:cs="Arial"/>
                <w:b/>
                <w:color w:val="FFFFFF" w:themeColor="background1"/>
              </w:rPr>
            </w:pPr>
            <w:r w:rsidRPr="00F140D8">
              <w:rPr>
                <w:rFonts w:ascii="Arial" w:eastAsiaTheme="minorEastAsia" w:hAnsi="Arial" w:cs="Arial"/>
                <w:b/>
                <w:color w:val="FFFFFF" w:themeColor="background1"/>
              </w:rPr>
              <w:t>Ticker</w:t>
            </w:r>
          </w:p>
        </w:tc>
        <w:tc>
          <w:tcPr>
            <w:tcW w:w="2977" w:type="dxa"/>
            <w:shd w:val="clear" w:color="auto" w:fill="808080" w:themeFill="background1" w:themeFillShade="80"/>
            <w:tcMar>
              <w:top w:w="57" w:type="dxa"/>
              <w:left w:w="28" w:type="dxa"/>
              <w:bottom w:w="57" w:type="dxa"/>
              <w:right w:w="28" w:type="dxa"/>
            </w:tcMar>
            <w:vAlign w:val="center"/>
          </w:tcPr>
          <w:p w:rsidR="00335720" w:rsidRPr="00F140D8" w:rsidRDefault="00335720" w:rsidP="00992649">
            <w:pPr>
              <w:pStyle w:val="IFRS9Text"/>
              <w:spacing w:after="0" w:line="240" w:lineRule="atLeast"/>
              <w:ind w:left="0" w:right="4"/>
              <w:rPr>
                <w:rFonts w:ascii="Arial" w:eastAsiaTheme="minorEastAsia" w:hAnsi="Arial" w:cs="Arial"/>
                <w:b/>
                <w:color w:val="FFFFFF" w:themeColor="background1"/>
              </w:rPr>
            </w:pPr>
            <w:r>
              <w:rPr>
                <w:rFonts w:ascii="Arial" w:eastAsiaTheme="minorEastAsia" w:hAnsi="Arial" w:cs="Arial"/>
                <w:b/>
                <w:color w:val="FFFFFF" w:themeColor="background1"/>
              </w:rPr>
              <w:t>Issuer name</w:t>
            </w:r>
          </w:p>
        </w:tc>
        <w:tc>
          <w:tcPr>
            <w:tcW w:w="1294" w:type="dxa"/>
            <w:shd w:val="clear" w:color="auto" w:fill="808080" w:themeFill="background1" w:themeFillShade="80"/>
            <w:tcMar>
              <w:top w:w="57" w:type="dxa"/>
              <w:left w:w="28" w:type="dxa"/>
              <w:bottom w:w="57" w:type="dxa"/>
              <w:right w:w="28" w:type="dxa"/>
            </w:tcMar>
            <w:vAlign w:val="center"/>
          </w:tcPr>
          <w:p w:rsidR="00335720" w:rsidRPr="00F140D8" w:rsidRDefault="00335720" w:rsidP="00992649">
            <w:pPr>
              <w:pStyle w:val="IFRS9Text"/>
              <w:spacing w:after="0" w:line="240" w:lineRule="atLeast"/>
              <w:ind w:left="0" w:right="4"/>
              <w:rPr>
                <w:rFonts w:ascii="Arial" w:eastAsiaTheme="minorEastAsia" w:hAnsi="Arial" w:cs="Arial"/>
                <w:b/>
                <w:color w:val="FFFFFF" w:themeColor="background1"/>
              </w:rPr>
            </w:pPr>
            <w:r>
              <w:rPr>
                <w:rFonts w:ascii="Arial" w:eastAsiaTheme="minorEastAsia" w:hAnsi="Arial" w:cs="Arial"/>
                <w:b/>
                <w:color w:val="FFFFFF" w:themeColor="background1"/>
              </w:rPr>
              <w:t>Industry sector</w:t>
            </w:r>
          </w:p>
        </w:tc>
        <w:tc>
          <w:tcPr>
            <w:tcW w:w="974" w:type="dxa"/>
            <w:shd w:val="clear" w:color="auto" w:fill="808080" w:themeFill="background1" w:themeFillShade="80"/>
            <w:tcMar>
              <w:top w:w="57" w:type="dxa"/>
              <w:left w:w="28" w:type="dxa"/>
              <w:bottom w:w="57" w:type="dxa"/>
              <w:right w:w="28" w:type="dxa"/>
            </w:tcMar>
            <w:vAlign w:val="center"/>
          </w:tcPr>
          <w:p w:rsidR="00335720" w:rsidRPr="00F140D8" w:rsidRDefault="00335720" w:rsidP="00992649">
            <w:pPr>
              <w:pStyle w:val="IFRS9Text"/>
              <w:spacing w:after="0" w:line="240" w:lineRule="atLeast"/>
              <w:ind w:left="0" w:right="4"/>
              <w:jc w:val="center"/>
              <w:rPr>
                <w:rFonts w:ascii="Arial" w:eastAsiaTheme="minorEastAsia" w:hAnsi="Arial" w:cs="Arial"/>
                <w:b/>
                <w:color w:val="FFFFFF" w:themeColor="background1"/>
              </w:rPr>
            </w:pPr>
            <w:r>
              <w:rPr>
                <w:rFonts w:ascii="Arial" w:eastAsiaTheme="minorEastAsia" w:hAnsi="Arial" w:cs="Arial"/>
                <w:b/>
                <w:color w:val="FFFFFF" w:themeColor="background1"/>
              </w:rPr>
              <w:t>Maturity date</w:t>
            </w:r>
          </w:p>
        </w:tc>
        <w:tc>
          <w:tcPr>
            <w:tcW w:w="1134" w:type="dxa"/>
            <w:shd w:val="clear" w:color="auto" w:fill="808080" w:themeFill="background1" w:themeFillShade="80"/>
            <w:tcMar>
              <w:top w:w="57" w:type="dxa"/>
              <w:left w:w="28" w:type="dxa"/>
              <w:bottom w:w="57" w:type="dxa"/>
              <w:right w:w="28" w:type="dxa"/>
            </w:tcMar>
            <w:vAlign w:val="center"/>
          </w:tcPr>
          <w:p w:rsidR="00335720" w:rsidRPr="00F140D8" w:rsidRDefault="00335720" w:rsidP="00992649">
            <w:pPr>
              <w:pStyle w:val="IFRS9Text"/>
              <w:spacing w:after="0" w:line="240" w:lineRule="atLeast"/>
              <w:ind w:left="0" w:right="4"/>
              <w:jc w:val="center"/>
              <w:rPr>
                <w:rFonts w:ascii="Arial" w:eastAsiaTheme="minorEastAsia" w:hAnsi="Arial" w:cs="Arial"/>
                <w:b/>
                <w:color w:val="FFFFFF" w:themeColor="background1"/>
              </w:rPr>
            </w:pPr>
            <w:r>
              <w:rPr>
                <w:rFonts w:ascii="Arial" w:eastAsiaTheme="minorEastAsia" w:hAnsi="Arial" w:cs="Arial"/>
                <w:b/>
                <w:color w:val="FFFFFF" w:themeColor="background1"/>
              </w:rPr>
              <w:t>Remaining tenor</w:t>
            </w:r>
          </w:p>
        </w:tc>
        <w:tc>
          <w:tcPr>
            <w:tcW w:w="854" w:type="dxa"/>
            <w:shd w:val="clear" w:color="auto" w:fill="808080" w:themeFill="background1" w:themeFillShade="80"/>
            <w:tcMar>
              <w:top w:w="57" w:type="dxa"/>
              <w:left w:w="28" w:type="dxa"/>
              <w:bottom w:w="57" w:type="dxa"/>
              <w:right w:w="28" w:type="dxa"/>
            </w:tcMar>
            <w:vAlign w:val="center"/>
          </w:tcPr>
          <w:p w:rsidR="00335720" w:rsidRPr="00F140D8" w:rsidRDefault="00335720" w:rsidP="00992649">
            <w:pPr>
              <w:pStyle w:val="IFRS9Text"/>
              <w:spacing w:after="0" w:line="240" w:lineRule="atLeast"/>
              <w:ind w:left="0" w:right="4"/>
              <w:jc w:val="center"/>
              <w:rPr>
                <w:rFonts w:ascii="Arial" w:eastAsiaTheme="minorEastAsia" w:hAnsi="Arial" w:cs="Arial"/>
                <w:b/>
                <w:color w:val="FFFFFF" w:themeColor="background1"/>
              </w:rPr>
            </w:pPr>
            <w:r>
              <w:rPr>
                <w:rFonts w:ascii="Arial" w:eastAsiaTheme="minorEastAsia" w:hAnsi="Arial" w:cs="Arial"/>
                <w:b/>
                <w:color w:val="FFFFFF" w:themeColor="background1"/>
              </w:rPr>
              <w:t>Yield rate</w:t>
            </w:r>
          </w:p>
        </w:tc>
      </w:tr>
      <w:tr w:rsidR="00992649" w:rsidTr="00992649">
        <w:trPr>
          <w:jc w:val="center"/>
        </w:trPr>
        <w:tc>
          <w:tcPr>
            <w:tcW w:w="421" w:type="dxa"/>
            <w:vAlign w:val="center"/>
          </w:tcPr>
          <w:p w:rsidR="00992649" w:rsidRDefault="00992649" w:rsidP="00992649">
            <w:pPr>
              <w:pStyle w:val="IFRS9Text"/>
              <w:spacing w:after="0" w:line="240" w:lineRule="atLeast"/>
              <w:ind w:left="0" w:right="4"/>
              <w:jc w:val="center"/>
              <w:rPr>
                <w:rFonts w:ascii="Arial" w:eastAsiaTheme="minorEastAsia" w:hAnsi="Arial" w:cs="Arial"/>
              </w:rPr>
            </w:pPr>
            <w:r>
              <w:rPr>
                <w:rFonts w:ascii="Arial" w:eastAsiaTheme="minorEastAsia" w:hAnsi="Arial" w:cs="Arial"/>
              </w:rPr>
              <w:t>1</w:t>
            </w:r>
          </w:p>
        </w:tc>
        <w:tc>
          <w:tcPr>
            <w:tcW w:w="1417" w:type="dxa"/>
            <w:tcMar>
              <w:top w:w="57" w:type="dxa"/>
              <w:left w:w="57" w:type="dxa"/>
              <w:bottom w:w="57" w:type="dxa"/>
              <w:right w:w="57" w:type="dxa"/>
            </w:tcMar>
            <w:vAlign w:val="center"/>
          </w:tcPr>
          <w:p w:rsidR="00992649" w:rsidRPr="00EB2724" w:rsidRDefault="00992649" w:rsidP="00992649">
            <w:pPr>
              <w:ind w:left="0"/>
            </w:pPr>
            <w:r w:rsidRPr="00EB2724">
              <w:t>EK417798 Corp</w:t>
            </w:r>
          </w:p>
        </w:tc>
        <w:tc>
          <w:tcPr>
            <w:tcW w:w="2977" w:type="dxa"/>
            <w:tcMar>
              <w:top w:w="57" w:type="dxa"/>
              <w:left w:w="57" w:type="dxa"/>
              <w:bottom w:w="57" w:type="dxa"/>
              <w:right w:w="57" w:type="dxa"/>
            </w:tcMar>
            <w:vAlign w:val="center"/>
          </w:tcPr>
          <w:p w:rsidR="00992649" w:rsidRPr="00A95DB9" w:rsidRDefault="00992649" w:rsidP="00992649">
            <w:pPr>
              <w:ind w:left="0"/>
              <w:jc w:val="left"/>
            </w:pPr>
            <w:r w:rsidRPr="00A95DB9">
              <w:t>BWAY HOLDING CO</w:t>
            </w:r>
          </w:p>
        </w:tc>
        <w:tc>
          <w:tcPr>
            <w:tcW w:w="1294" w:type="dxa"/>
            <w:tcMar>
              <w:top w:w="57" w:type="dxa"/>
              <w:left w:w="57" w:type="dxa"/>
              <w:bottom w:w="57" w:type="dxa"/>
              <w:right w:w="57" w:type="dxa"/>
            </w:tcMar>
            <w:vAlign w:val="center"/>
          </w:tcPr>
          <w:p w:rsidR="00992649" w:rsidRPr="005F704D" w:rsidRDefault="00992649" w:rsidP="00992649">
            <w:pPr>
              <w:ind w:left="0"/>
              <w:jc w:val="left"/>
            </w:pPr>
            <w:r w:rsidRPr="005F704D">
              <w:t>Packaging</w:t>
            </w:r>
            <w:r>
              <w:t xml:space="preserve"> </w:t>
            </w:r>
            <w:r w:rsidRPr="005F704D">
              <w:t>&amp;</w:t>
            </w:r>
            <w:r>
              <w:t xml:space="preserve"> </w:t>
            </w:r>
            <w:r w:rsidRPr="005F704D">
              <w:t>Containers</w:t>
            </w:r>
          </w:p>
        </w:tc>
        <w:tc>
          <w:tcPr>
            <w:tcW w:w="974" w:type="dxa"/>
            <w:tcMar>
              <w:top w:w="57" w:type="dxa"/>
              <w:left w:w="57" w:type="dxa"/>
              <w:bottom w:w="57" w:type="dxa"/>
              <w:right w:w="57" w:type="dxa"/>
            </w:tcMar>
            <w:vAlign w:val="center"/>
          </w:tcPr>
          <w:p w:rsidR="00992649" w:rsidRPr="005723ED" w:rsidRDefault="00992649" w:rsidP="00992649">
            <w:pPr>
              <w:ind w:left="0"/>
              <w:jc w:val="center"/>
            </w:pPr>
            <w:r w:rsidRPr="005723ED">
              <w:t>15-Aug-21</w:t>
            </w:r>
          </w:p>
        </w:tc>
        <w:tc>
          <w:tcPr>
            <w:tcW w:w="1134" w:type="dxa"/>
            <w:tcMar>
              <w:top w:w="57" w:type="dxa"/>
              <w:left w:w="57" w:type="dxa"/>
              <w:bottom w:w="57" w:type="dxa"/>
              <w:right w:w="57" w:type="dxa"/>
            </w:tcMar>
            <w:vAlign w:val="center"/>
          </w:tcPr>
          <w:p w:rsidR="00992649" w:rsidRPr="005723ED" w:rsidRDefault="00992649" w:rsidP="00992649">
            <w:pPr>
              <w:ind w:left="0"/>
              <w:jc w:val="center"/>
            </w:pPr>
            <w:r w:rsidRPr="005723ED">
              <w:t>6.3</w:t>
            </w:r>
          </w:p>
        </w:tc>
        <w:tc>
          <w:tcPr>
            <w:tcW w:w="854" w:type="dxa"/>
            <w:tcMar>
              <w:top w:w="57" w:type="dxa"/>
              <w:left w:w="57" w:type="dxa"/>
              <w:bottom w:w="57" w:type="dxa"/>
              <w:right w:w="57" w:type="dxa"/>
            </w:tcMar>
            <w:vAlign w:val="center"/>
          </w:tcPr>
          <w:p w:rsidR="00992649" w:rsidRPr="003B0CDA" w:rsidRDefault="00992649" w:rsidP="00992649">
            <w:pPr>
              <w:ind w:left="0"/>
              <w:jc w:val="center"/>
            </w:pPr>
            <w:r w:rsidRPr="003B0CDA">
              <w:t>11.3560</w:t>
            </w:r>
          </w:p>
        </w:tc>
      </w:tr>
      <w:tr w:rsidR="00992649" w:rsidTr="00992649">
        <w:trPr>
          <w:jc w:val="center"/>
        </w:trPr>
        <w:tc>
          <w:tcPr>
            <w:tcW w:w="421" w:type="dxa"/>
            <w:vAlign w:val="center"/>
          </w:tcPr>
          <w:p w:rsidR="00992649" w:rsidRDefault="00992649" w:rsidP="00992649">
            <w:pPr>
              <w:pStyle w:val="IFRS9Text"/>
              <w:spacing w:after="0" w:line="240" w:lineRule="atLeast"/>
              <w:ind w:left="0" w:right="4"/>
              <w:jc w:val="center"/>
              <w:rPr>
                <w:rFonts w:ascii="Arial" w:eastAsiaTheme="minorEastAsia" w:hAnsi="Arial" w:cs="Arial"/>
              </w:rPr>
            </w:pPr>
            <w:r>
              <w:rPr>
                <w:rFonts w:ascii="Arial" w:eastAsiaTheme="minorEastAsia" w:hAnsi="Arial" w:cs="Arial"/>
              </w:rPr>
              <w:t>2</w:t>
            </w:r>
          </w:p>
        </w:tc>
        <w:tc>
          <w:tcPr>
            <w:tcW w:w="1417" w:type="dxa"/>
            <w:tcMar>
              <w:top w:w="57" w:type="dxa"/>
              <w:left w:w="57" w:type="dxa"/>
              <w:bottom w:w="57" w:type="dxa"/>
              <w:right w:w="57" w:type="dxa"/>
            </w:tcMar>
            <w:vAlign w:val="center"/>
          </w:tcPr>
          <w:p w:rsidR="00992649" w:rsidRPr="00EB2724" w:rsidRDefault="00992649" w:rsidP="00992649">
            <w:pPr>
              <w:ind w:left="0"/>
            </w:pPr>
            <w:r w:rsidRPr="00EB2724">
              <w:t>EI724825 Corp</w:t>
            </w:r>
          </w:p>
        </w:tc>
        <w:tc>
          <w:tcPr>
            <w:tcW w:w="2977" w:type="dxa"/>
            <w:tcMar>
              <w:top w:w="57" w:type="dxa"/>
              <w:left w:w="57" w:type="dxa"/>
              <w:bottom w:w="57" w:type="dxa"/>
              <w:right w:w="57" w:type="dxa"/>
            </w:tcMar>
            <w:vAlign w:val="center"/>
          </w:tcPr>
          <w:p w:rsidR="00992649" w:rsidRPr="00A95DB9" w:rsidRDefault="00992649" w:rsidP="00992649">
            <w:pPr>
              <w:ind w:left="0"/>
              <w:jc w:val="left"/>
            </w:pPr>
            <w:r w:rsidRPr="00A95DB9">
              <w:t>BEAZER HOMES USA</w:t>
            </w:r>
          </w:p>
        </w:tc>
        <w:tc>
          <w:tcPr>
            <w:tcW w:w="1294" w:type="dxa"/>
            <w:tcMar>
              <w:top w:w="57" w:type="dxa"/>
              <w:left w:w="57" w:type="dxa"/>
              <w:bottom w:w="57" w:type="dxa"/>
              <w:right w:w="57" w:type="dxa"/>
            </w:tcMar>
            <w:vAlign w:val="center"/>
          </w:tcPr>
          <w:p w:rsidR="00992649" w:rsidRPr="005F704D" w:rsidRDefault="00992649" w:rsidP="00992649">
            <w:pPr>
              <w:ind w:left="0"/>
              <w:jc w:val="left"/>
            </w:pPr>
            <w:r w:rsidRPr="005F704D">
              <w:t>Home Builders</w:t>
            </w:r>
          </w:p>
        </w:tc>
        <w:tc>
          <w:tcPr>
            <w:tcW w:w="974" w:type="dxa"/>
            <w:tcMar>
              <w:top w:w="57" w:type="dxa"/>
              <w:left w:w="57" w:type="dxa"/>
              <w:bottom w:w="57" w:type="dxa"/>
              <w:right w:w="57" w:type="dxa"/>
            </w:tcMar>
            <w:vAlign w:val="center"/>
          </w:tcPr>
          <w:p w:rsidR="00992649" w:rsidRPr="005723ED" w:rsidRDefault="00992649" w:rsidP="00992649">
            <w:pPr>
              <w:ind w:left="0"/>
              <w:jc w:val="center"/>
            </w:pPr>
            <w:r w:rsidRPr="005723ED">
              <w:t>15-May-19</w:t>
            </w:r>
          </w:p>
        </w:tc>
        <w:tc>
          <w:tcPr>
            <w:tcW w:w="1134" w:type="dxa"/>
            <w:tcMar>
              <w:top w:w="57" w:type="dxa"/>
              <w:left w:w="57" w:type="dxa"/>
              <w:bottom w:w="57" w:type="dxa"/>
              <w:right w:w="57" w:type="dxa"/>
            </w:tcMar>
            <w:vAlign w:val="center"/>
          </w:tcPr>
          <w:p w:rsidR="00992649" w:rsidRPr="005723ED" w:rsidRDefault="00992649" w:rsidP="00992649">
            <w:pPr>
              <w:ind w:left="0"/>
              <w:jc w:val="center"/>
            </w:pPr>
            <w:r w:rsidRPr="005723ED">
              <w:t>4.1</w:t>
            </w:r>
          </w:p>
        </w:tc>
        <w:tc>
          <w:tcPr>
            <w:tcW w:w="854" w:type="dxa"/>
            <w:tcMar>
              <w:top w:w="57" w:type="dxa"/>
              <w:left w:w="57" w:type="dxa"/>
              <w:bottom w:w="57" w:type="dxa"/>
              <w:right w:w="57" w:type="dxa"/>
            </w:tcMar>
            <w:vAlign w:val="center"/>
          </w:tcPr>
          <w:p w:rsidR="00992649" w:rsidRPr="003B0CDA" w:rsidRDefault="00992649" w:rsidP="00992649">
            <w:pPr>
              <w:ind w:left="0"/>
              <w:jc w:val="center"/>
            </w:pPr>
            <w:r w:rsidRPr="003B0CDA">
              <w:t>6.1110</w:t>
            </w:r>
          </w:p>
        </w:tc>
      </w:tr>
      <w:tr w:rsidR="00992649" w:rsidTr="00992649">
        <w:trPr>
          <w:jc w:val="center"/>
        </w:trPr>
        <w:tc>
          <w:tcPr>
            <w:tcW w:w="421" w:type="dxa"/>
            <w:vAlign w:val="center"/>
          </w:tcPr>
          <w:p w:rsidR="00992649" w:rsidRDefault="00992649" w:rsidP="00992649">
            <w:pPr>
              <w:pStyle w:val="IFRS9Text"/>
              <w:spacing w:after="0" w:line="240" w:lineRule="atLeast"/>
              <w:ind w:left="0" w:right="4"/>
              <w:jc w:val="center"/>
              <w:rPr>
                <w:rFonts w:ascii="Arial" w:eastAsiaTheme="minorEastAsia" w:hAnsi="Arial" w:cs="Arial"/>
              </w:rPr>
            </w:pPr>
            <w:r>
              <w:rPr>
                <w:rFonts w:ascii="Arial" w:eastAsiaTheme="minorEastAsia" w:hAnsi="Arial" w:cs="Arial"/>
              </w:rPr>
              <w:t>3</w:t>
            </w:r>
          </w:p>
        </w:tc>
        <w:tc>
          <w:tcPr>
            <w:tcW w:w="1417" w:type="dxa"/>
            <w:tcMar>
              <w:top w:w="57" w:type="dxa"/>
              <w:left w:w="57" w:type="dxa"/>
              <w:bottom w:w="57" w:type="dxa"/>
              <w:right w:w="57" w:type="dxa"/>
            </w:tcMar>
            <w:vAlign w:val="center"/>
          </w:tcPr>
          <w:p w:rsidR="00992649" w:rsidRPr="00EB2724" w:rsidRDefault="00992649" w:rsidP="00992649">
            <w:pPr>
              <w:ind w:left="0"/>
            </w:pPr>
            <w:r w:rsidRPr="00EB2724">
              <w:t>EF656286 Corp</w:t>
            </w:r>
          </w:p>
        </w:tc>
        <w:tc>
          <w:tcPr>
            <w:tcW w:w="2977" w:type="dxa"/>
            <w:tcMar>
              <w:top w:w="57" w:type="dxa"/>
              <w:left w:w="57" w:type="dxa"/>
              <w:bottom w:w="57" w:type="dxa"/>
              <w:right w:w="57" w:type="dxa"/>
            </w:tcMar>
            <w:vAlign w:val="center"/>
          </w:tcPr>
          <w:p w:rsidR="00992649" w:rsidRPr="00A95DB9" w:rsidRDefault="00992649" w:rsidP="00992649">
            <w:pPr>
              <w:ind w:left="0"/>
              <w:jc w:val="left"/>
            </w:pPr>
            <w:r w:rsidRPr="00A95DB9">
              <w:t>BEAZER HOMES USA</w:t>
            </w:r>
          </w:p>
        </w:tc>
        <w:tc>
          <w:tcPr>
            <w:tcW w:w="1294" w:type="dxa"/>
            <w:tcMar>
              <w:top w:w="57" w:type="dxa"/>
              <w:left w:w="57" w:type="dxa"/>
              <w:bottom w:w="57" w:type="dxa"/>
              <w:right w:w="57" w:type="dxa"/>
            </w:tcMar>
            <w:vAlign w:val="center"/>
          </w:tcPr>
          <w:p w:rsidR="00992649" w:rsidRPr="005F704D" w:rsidRDefault="00992649" w:rsidP="00992649">
            <w:pPr>
              <w:ind w:left="0"/>
              <w:jc w:val="left"/>
            </w:pPr>
            <w:r w:rsidRPr="005F704D">
              <w:t>Home Builders</w:t>
            </w:r>
          </w:p>
        </w:tc>
        <w:tc>
          <w:tcPr>
            <w:tcW w:w="974" w:type="dxa"/>
            <w:tcMar>
              <w:top w:w="57" w:type="dxa"/>
              <w:left w:w="57" w:type="dxa"/>
              <w:bottom w:w="57" w:type="dxa"/>
              <w:right w:w="57" w:type="dxa"/>
            </w:tcMar>
            <w:vAlign w:val="center"/>
          </w:tcPr>
          <w:p w:rsidR="00992649" w:rsidRPr="005723ED" w:rsidRDefault="00992649" w:rsidP="00992649">
            <w:pPr>
              <w:ind w:left="0"/>
              <w:jc w:val="center"/>
            </w:pPr>
            <w:r w:rsidRPr="005723ED">
              <w:t>15-Jun-16</w:t>
            </w:r>
          </w:p>
        </w:tc>
        <w:tc>
          <w:tcPr>
            <w:tcW w:w="1134" w:type="dxa"/>
            <w:tcMar>
              <w:top w:w="57" w:type="dxa"/>
              <w:left w:w="57" w:type="dxa"/>
              <w:bottom w:w="57" w:type="dxa"/>
              <w:right w:w="57" w:type="dxa"/>
            </w:tcMar>
            <w:vAlign w:val="center"/>
          </w:tcPr>
          <w:p w:rsidR="00992649" w:rsidRPr="005723ED" w:rsidRDefault="00992649" w:rsidP="00992649">
            <w:pPr>
              <w:ind w:left="0"/>
              <w:jc w:val="center"/>
            </w:pPr>
            <w:r w:rsidRPr="005723ED">
              <w:t>1.2</w:t>
            </w:r>
          </w:p>
        </w:tc>
        <w:tc>
          <w:tcPr>
            <w:tcW w:w="854" w:type="dxa"/>
            <w:tcMar>
              <w:top w:w="57" w:type="dxa"/>
              <w:left w:w="57" w:type="dxa"/>
              <w:bottom w:w="57" w:type="dxa"/>
              <w:right w:w="57" w:type="dxa"/>
            </w:tcMar>
            <w:vAlign w:val="center"/>
          </w:tcPr>
          <w:p w:rsidR="00992649" w:rsidRPr="003B0CDA" w:rsidRDefault="00992649" w:rsidP="00992649">
            <w:pPr>
              <w:ind w:left="0"/>
              <w:jc w:val="center"/>
            </w:pPr>
            <w:r w:rsidRPr="003B0CDA">
              <w:t>2.8000</w:t>
            </w:r>
          </w:p>
        </w:tc>
      </w:tr>
      <w:tr w:rsidR="00992649" w:rsidTr="00992649">
        <w:trPr>
          <w:jc w:val="center"/>
        </w:trPr>
        <w:tc>
          <w:tcPr>
            <w:tcW w:w="421" w:type="dxa"/>
            <w:vAlign w:val="center"/>
          </w:tcPr>
          <w:p w:rsidR="00992649" w:rsidRDefault="00992649" w:rsidP="00992649">
            <w:pPr>
              <w:pStyle w:val="IFRS9Text"/>
              <w:spacing w:after="0" w:line="240" w:lineRule="atLeast"/>
              <w:ind w:left="0" w:right="4"/>
              <w:jc w:val="center"/>
              <w:rPr>
                <w:rFonts w:ascii="Arial" w:eastAsiaTheme="minorEastAsia" w:hAnsi="Arial" w:cs="Arial"/>
              </w:rPr>
            </w:pPr>
            <w:r>
              <w:rPr>
                <w:rFonts w:ascii="Arial" w:eastAsiaTheme="minorEastAsia" w:hAnsi="Arial" w:cs="Arial"/>
              </w:rPr>
              <w:t>4</w:t>
            </w:r>
          </w:p>
        </w:tc>
        <w:tc>
          <w:tcPr>
            <w:tcW w:w="1417" w:type="dxa"/>
            <w:tcMar>
              <w:top w:w="57" w:type="dxa"/>
              <w:left w:w="57" w:type="dxa"/>
              <w:bottom w:w="57" w:type="dxa"/>
              <w:right w:w="57" w:type="dxa"/>
            </w:tcMar>
            <w:vAlign w:val="center"/>
          </w:tcPr>
          <w:p w:rsidR="00992649" w:rsidRPr="00EB2724" w:rsidRDefault="00992649" w:rsidP="00992649">
            <w:pPr>
              <w:ind w:left="0"/>
            </w:pPr>
            <w:r w:rsidRPr="00EB2724">
              <w:t>EK054663 Corp</w:t>
            </w:r>
          </w:p>
        </w:tc>
        <w:tc>
          <w:tcPr>
            <w:tcW w:w="2977" w:type="dxa"/>
            <w:tcMar>
              <w:top w:w="57" w:type="dxa"/>
              <w:left w:w="57" w:type="dxa"/>
              <w:bottom w:w="57" w:type="dxa"/>
              <w:right w:w="57" w:type="dxa"/>
            </w:tcMar>
            <w:vAlign w:val="center"/>
          </w:tcPr>
          <w:p w:rsidR="00992649" w:rsidRPr="00A95DB9" w:rsidRDefault="00992649" w:rsidP="00992649">
            <w:pPr>
              <w:ind w:left="0"/>
              <w:jc w:val="left"/>
            </w:pPr>
            <w:r w:rsidRPr="00A95DB9">
              <w:t>BEAZER HOMES USA</w:t>
            </w:r>
          </w:p>
        </w:tc>
        <w:tc>
          <w:tcPr>
            <w:tcW w:w="1294" w:type="dxa"/>
            <w:tcMar>
              <w:top w:w="57" w:type="dxa"/>
              <w:left w:w="57" w:type="dxa"/>
              <w:bottom w:w="57" w:type="dxa"/>
              <w:right w:w="57" w:type="dxa"/>
            </w:tcMar>
            <w:vAlign w:val="center"/>
          </w:tcPr>
          <w:p w:rsidR="00992649" w:rsidRPr="005F704D" w:rsidRDefault="00992649" w:rsidP="00992649">
            <w:pPr>
              <w:ind w:left="0"/>
              <w:jc w:val="left"/>
            </w:pPr>
            <w:r w:rsidRPr="005F704D">
              <w:t>Home Builders</w:t>
            </w:r>
          </w:p>
        </w:tc>
        <w:tc>
          <w:tcPr>
            <w:tcW w:w="974" w:type="dxa"/>
            <w:tcMar>
              <w:top w:w="57" w:type="dxa"/>
              <w:left w:w="57" w:type="dxa"/>
              <w:bottom w:w="57" w:type="dxa"/>
              <w:right w:w="57" w:type="dxa"/>
            </w:tcMar>
            <w:vAlign w:val="center"/>
          </w:tcPr>
          <w:p w:rsidR="00992649" w:rsidRPr="005723ED" w:rsidRDefault="00992649" w:rsidP="00992649">
            <w:pPr>
              <w:ind w:left="0"/>
              <w:jc w:val="center"/>
            </w:pPr>
            <w:r w:rsidRPr="005723ED">
              <w:t>15-Sep-21</w:t>
            </w:r>
          </w:p>
        </w:tc>
        <w:tc>
          <w:tcPr>
            <w:tcW w:w="1134" w:type="dxa"/>
            <w:tcMar>
              <w:top w:w="57" w:type="dxa"/>
              <w:left w:w="57" w:type="dxa"/>
              <w:bottom w:w="57" w:type="dxa"/>
              <w:right w:w="57" w:type="dxa"/>
            </w:tcMar>
            <w:vAlign w:val="center"/>
          </w:tcPr>
          <w:p w:rsidR="00992649" w:rsidRPr="005723ED" w:rsidRDefault="00992649" w:rsidP="00992649">
            <w:pPr>
              <w:ind w:left="0"/>
              <w:jc w:val="center"/>
            </w:pPr>
            <w:r w:rsidRPr="005723ED">
              <w:t>6.4</w:t>
            </w:r>
          </w:p>
        </w:tc>
        <w:tc>
          <w:tcPr>
            <w:tcW w:w="854" w:type="dxa"/>
            <w:tcMar>
              <w:top w:w="57" w:type="dxa"/>
              <w:left w:w="57" w:type="dxa"/>
              <w:bottom w:w="57" w:type="dxa"/>
              <w:right w:w="57" w:type="dxa"/>
            </w:tcMar>
            <w:vAlign w:val="center"/>
          </w:tcPr>
          <w:p w:rsidR="00992649" w:rsidRPr="003B0CDA" w:rsidRDefault="00992649" w:rsidP="00992649">
            <w:pPr>
              <w:ind w:left="0"/>
              <w:jc w:val="center"/>
            </w:pPr>
            <w:r w:rsidRPr="003B0CDA">
              <w:t>9.9730</w:t>
            </w:r>
          </w:p>
        </w:tc>
      </w:tr>
      <w:tr w:rsidR="00992649" w:rsidTr="00992649">
        <w:trPr>
          <w:jc w:val="center"/>
        </w:trPr>
        <w:tc>
          <w:tcPr>
            <w:tcW w:w="421" w:type="dxa"/>
            <w:vAlign w:val="center"/>
          </w:tcPr>
          <w:p w:rsidR="00992649" w:rsidRDefault="00992649" w:rsidP="00992649">
            <w:pPr>
              <w:pStyle w:val="IFRS9Text"/>
              <w:spacing w:after="0" w:line="240" w:lineRule="atLeast"/>
              <w:ind w:left="0" w:right="4"/>
              <w:jc w:val="center"/>
              <w:rPr>
                <w:rFonts w:ascii="Arial" w:eastAsiaTheme="minorEastAsia" w:hAnsi="Arial" w:cs="Arial"/>
              </w:rPr>
            </w:pPr>
            <w:r>
              <w:rPr>
                <w:rFonts w:ascii="Arial" w:eastAsiaTheme="minorEastAsia" w:hAnsi="Arial" w:cs="Arial"/>
              </w:rPr>
              <w:t>5</w:t>
            </w:r>
          </w:p>
        </w:tc>
        <w:tc>
          <w:tcPr>
            <w:tcW w:w="1417" w:type="dxa"/>
            <w:tcMar>
              <w:top w:w="57" w:type="dxa"/>
              <w:left w:w="57" w:type="dxa"/>
              <w:bottom w:w="57" w:type="dxa"/>
              <w:right w:w="57" w:type="dxa"/>
            </w:tcMar>
            <w:vAlign w:val="center"/>
          </w:tcPr>
          <w:p w:rsidR="00992649" w:rsidRPr="00EB2724" w:rsidRDefault="00992649" w:rsidP="00992649">
            <w:pPr>
              <w:ind w:left="0"/>
            </w:pPr>
            <w:r w:rsidRPr="00EB2724">
              <w:t>EK354818 Corp</w:t>
            </w:r>
          </w:p>
        </w:tc>
        <w:tc>
          <w:tcPr>
            <w:tcW w:w="2977" w:type="dxa"/>
            <w:tcMar>
              <w:top w:w="57" w:type="dxa"/>
              <w:left w:w="57" w:type="dxa"/>
              <w:bottom w:w="57" w:type="dxa"/>
              <w:right w:w="57" w:type="dxa"/>
            </w:tcMar>
            <w:vAlign w:val="center"/>
          </w:tcPr>
          <w:p w:rsidR="00992649" w:rsidRPr="00A95DB9" w:rsidRDefault="00992649" w:rsidP="00992649">
            <w:pPr>
              <w:ind w:left="0"/>
              <w:jc w:val="left"/>
            </w:pPr>
            <w:r w:rsidRPr="00A95DB9">
              <w:t>BEAZER HOMES USA</w:t>
            </w:r>
          </w:p>
        </w:tc>
        <w:tc>
          <w:tcPr>
            <w:tcW w:w="1294" w:type="dxa"/>
            <w:tcMar>
              <w:top w:w="57" w:type="dxa"/>
              <w:left w:w="57" w:type="dxa"/>
              <w:bottom w:w="57" w:type="dxa"/>
              <w:right w:w="57" w:type="dxa"/>
            </w:tcMar>
            <w:vAlign w:val="center"/>
          </w:tcPr>
          <w:p w:rsidR="00992649" w:rsidRPr="005F704D" w:rsidRDefault="00992649" w:rsidP="00992649">
            <w:pPr>
              <w:ind w:left="0"/>
              <w:jc w:val="left"/>
            </w:pPr>
            <w:r w:rsidRPr="005F704D">
              <w:t>Home Builders</w:t>
            </w:r>
          </w:p>
        </w:tc>
        <w:tc>
          <w:tcPr>
            <w:tcW w:w="974" w:type="dxa"/>
            <w:tcMar>
              <w:top w:w="57" w:type="dxa"/>
              <w:left w:w="57" w:type="dxa"/>
              <w:bottom w:w="57" w:type="dxa"/>
              <w:right w:w="57" w:type="dxa"/>
            </w:tcMar>
            <w:vAlign w:val="center"/>
          </w:tcPr>
          <w:p w:rsidR="00992649" w:rsidRPr="005723ED" w:rsidRDefault="00992649" w:rsidP="00992649">
            <w:pPr>
              <w:ind w:left="0"/>
              <w:jc w:val="center"/>
            </w:pPr>
            <w:r w:rsidRPr="005723ED">
              <w:t>15-Jun-19</w:t>
            </w:r>
          </w:p>
        </w:tc>
        <w:tc>
          <w:tcPr>
            <w:tcW w:w="1134" w:type="dxa"/>
            <w:tcMar>
              <w:top w:w="57" w:type="dxa"/>
              <w:left w:w="57" w:type="dxa"/>
              <w:bottom w:w="57" w:type="dxa"/>
              <w:right w:w="57" w:type="dxa"/>
            </w:tcMar>
            <w:vAlign w:val="center"/>
          </w:tcPr>
          <w:p w:rsidR="00992649" w:rsidRPr="005723ED" w:rsidRDefault="00992649" w:rsidP="00992649">
            <w:pPr>
              <w:ind w:left="0"/>
              <w:jc w:val="center"/>
            </w:pPr>
            <w:r w:rsidRPr="005723ED">
              <w:t>4.2</w:t>
            </w:r>
          </w:p>
        </w:tc>
        <w:tc>
          <w:tcPr>
            <w:tcW w:w="854" w:type="dxa"/>
            <w:tcMar>
              <w:top w:w="57" w:type="dxa"/>
              <w:left w:w="57" w:type="dxa"/>
              <w:bottom w:w="57" w:type="dxa"/>
              <w:right w:w="57" w:type="dxa"/>
            </w:tcMar>
            <w:vAlign w:val="center"/>
          </w:tcPr>
          <w:p w:rsidR="00992649" w:rsidRPr="003B0CDA" w:rsidRDefault="00992649" w:rsidP="00992649">
            <w:pPr>
              <w:ind w:left="0"/>
              <w:jc w:val="center"/>
            </w:pPr>
            <w:r w:rsidRPr="003B0CDA">
              <w:t>5.9540</w:t>
            </w:r>
          </w:p>
        </w:tc>
      </w:tr>
      <w:tr w:rsidR="00992649" w:rsidTr="00992649">
        <w:trPr>
          <w:jc w:val="center"/>
        </w:trPr>
        <w:tc>
          <w:tcPr>
            <w:tcW w:w="421" w:type="dxa"/>
            <w:vAlign w:val="center"/>
          </w:tcPr>
          <w:p w:rsidR="00992649" w:rsidRDefault="00992649" w:rsidP="00992649">
            <w:pPr>
              <w:pStyle w:val="IFRS9Text"/>
              <w:spacing w:after="0" w:line="240" w:lineRule="atLeast"/>
              <w:ind w:left="0" w:right="4"/>
              <w:jc w:val="center"/>
              <w:rPr>
                <w:rFonts w:ascii="Arial" w:eastAsiaTheme="minorEastAsia" w:hAnsi="Arial" w:cs="Arial"/>
              </w:rPr>
            </w:pPr>
            <w:r>
              <w:rPr>
                <w:rFonts w:ascii="Arial" w:eastAsiaTheme="minorEastAsia" w:hAnsi="Arial" w:cs="Arial"/>
              </w:rPr>
              <w:t>6</w:t>
            </w:r>
          </w:p>
        </w:tc>
        <w:tc>
          <w:tcPr>
            <w:tcW w:w="1417" w:type="dxa"/>
            <w:tcMar>
              <w:top w:w="57" w:type="dxa"/>
              <w:left w:w="57" w:type="dxa"/>
              <w:bottom w:w="57" w:type="dxa"/>
              <w:right w:w="57" w:type="dxa"/>
            </w:tcMar>
            <w:vAlign w:val="center"/>
          </w:tcPr>
          <w:p w:rsidR="00992649" w:rsidRPr="00EB2724" w:rsidRDefault="00992649" w:rsidP="00992649">
            <w:pPr>
              <w:ind w:left="0"/>
            </w:pPr>
            <w:r w:rsidRPr="00EB2724">
              <w:t>EK056998 Corp</w:t>
            </w:r>
          </w:p>
        </w:tc>
        <w:tc>
          <w:tcPr>
            <w:tcW w:w="2977" w:type="dxa"/>
            <w:tcMar>
              <w:top w:w="57" w:type="dxa"/>
              <w:left w:w="57" w:type="dxa"/>
              <w:bottom w:w="57" w:type="dxa"/>
              <w:right w:w="57" w:type="dxa"/>
            </w:tcMar>
            <w:vAlign w:val="center"/>
          </w:tcPr>
          <w:p w:rsidR="00992649" w:rsidRPr="00A95DB9" w:rsidRDefault="00992649" w:rsidP="00992649">
            <w:pPr>
              <w:ind w:left="0"/>
              <w:jc w:val="left"/>
            </w:pPr>
            <w:r w:rsidRPr="00A95DB9">
              <w:t>BIOSCRIP INC</w:t>
            </w:r>
          </w:p>
        </w:tc>
        <w:tc>
          <w:tcPr>
            <w:tcW w:w="1294" w:type="dxa"/>
            <w:tcMar>
              <w:top w:w="57" w:type="dxa"/>
              <w:left w:w="57" w:type="dxa"/>
              <w:bottom w:w="57" w:type="dxa"/>
              <w:right w:w="57" w:type="dxa"/>
            </w:tcMar>
            <w:vAlign w:val="center"/>
          </w:tcPr>
          <w:p w:rsidR="00992649" w:rsidRPr="005F704D" w:rsidRDefault="00992649" w:rsidP="00992649">
            <w:pPr>
              <w:ind w:left="0"/>
              <w:jc w:val="left"/>
            </w:pPr>
            <w:r w:rsidRPr="005F704D">
              <w:t>Pharmaceuticals</w:t>
            </w:r>
          </w:p>
        </w:tc>
        <w:tc>
          <w:tcPr>
            <w:tcW w:w="974" w:type="dxa"/>
            <w:tcMar>
              <w:top w:w="57" w:type="dxa"/>
              <w:left w:w="57" w:type="dxa"/>
              <w:bottom w:w="57" w:type="dxa"/>
              <w:right w:w="57" w:type="dxa"/>
            </w:tcMar>
            <w:vAlign w:val="center"/>
          </w:tcPr>
          <w:p w:rsidR="00992649" w:rsidRPr="005723ED" w:rsidRDefault="00992649" w:rsidP="00992649">
            <w:pPr>
              <w:ind w:left="0"/>
              <w:jc w:val="center"/>
            </w:pPr>
            <w:r w:rsidRPr="005723ED">
              <w:t>15-Feb-21</w:t>
            </w:r>
          </w:p>
        </w:tc>
        <w:tc>
          <w:tcPr>
            <w:tcW w:w="1134" w:type="dxa"/>
            <w:tcMar>
              <w:top w:w="57" w:type="dxa"/>
              <w:left w:w="57" w:type="dxa"/>
              <w:bottom w:w="57" w:type="dxa"/>
              <w:right w:w="57" w:type="dxa"/>
            </w:tcMar>
            <w:vAlign w:val="center"/>
          </w:tcPr>
          <w:p w:rsidR="00992649" w:rsidRPr="005723ED" w:rsidRDefault="00992649" w:rsidP="00992649">
            <w:pPr>
              <w:ind w:left="0"/>
              <w:jc w:val="center"/>
            </w:pPr>
            <w:r w:rsidRPr="005723ED">
              <w:t>5.8</w:t>
            </w:r>
          </w:p>
        </w:tc>
        <w:tc>
          <w:tcPr>
            <w:tcW w:w="854" w:type="dxa"/>
            <w:tcMar>
              <w:top w:w="57" w:type="dxa"/>
              <w:left w:w="57" w:type="dxa"/>
              <w:bottom w:w="57" w:type="dxa"/>
              <w:right w:w="57" w:type="dxa"/>
            </w:tcMar>
            <w:vAlign w:val="center"/>
          </w:tcPr>
          <w:p w:rsidR="00992649" w:rsidRPr="003B0CDA" w:rsidRDefault="00992649" w:rsidP="00992649">
            <w:pPr>
              <w:ind w:left="0"/>
              <w:jc w:val="center"/>
            </w:pPr>
            <w:r w:rsidRPr="003B0CDA">
              <w:t>11.2280</w:t>
            </w:r>
          </w:p>
        </w:tc>
      </w:tr>
      <w:tr w:rsidR="00992649" w:rsidTr="00992649">
        <w:trPr>
          <w:jc w:val="center"/>
        </w:trPr>
        <w:tc>
          <w:tcPr>
            <w:tcW w:w="421" w:type="dxa"/>
            <w:vAlign w:val="center"/>
          </w:tcPr>
          <w:p w:rsidR="00992649" w:rsidRDefault="00992649" w:rsidP="00992649">
            <w:pPr>
              <w:pStyle w:val="IFRS9Text"/>
              <w:spacing w:after="0" w:line="240" w:lineRule="atLeast"/>
              <w:ind w:left="0" w:right="4"/>
              <w:jc w:val="center"/>
              <w:rPr>
                <w:rFonts w:ascii="Arial" w:eastAsiaTheme="minorEastAsia" w:hAnsi="Arial" w:cs="Arial"/>
              </w:rPr>
            </w:pPr>
            <w:r>
              <w:rPr>
                <w:rFonts w:ascii="Arial" w:eastAsiaTheme="minorEastAsia" w:hAnsi="Arial" w:cs="Arial"/>
              </w:rPr>
              <w:t>7</w:t>
            </w:r>
          </w:p>
        </w:tc>
        <w:tc>
          <w:tcPr>
            <w:tcW w:w="1417" w:type="dxa"/>
            <w:tcMar>
              <w:top w:w="57" w:type="dxa"/>
              <w:left w:w="57" w:type="dxa"/>
              <w:bottom w:w="57" w:type="dxa"/>
              <w:right w:w="57" w:type="dxa"/>
            </w:tcMar>
            <w:vAlign w:val="center"/>
          </w:tcPr>
          <w:p w:rsidR="00992649" w:rsidRPr="00EB2724" w:rsidRDefault="00992649" w:rsidP="00992649">
            <w:pPr>
              <w:ind w:left="0"/>
            </w:pPr>
            <w:r w:rsidRPr="00EB2724">
              <w:t>EJ587873 Corp</w:t>
            </w:r>
          </w:p>
        </w:tc>
        <w:tc>
          <w:tcPr>
            <w:tcW w:w="2977" w:type="dxa"/>
            <w:tcMar>
              <w:top w:w="57" w:type="dxa"/>
              <w:left w:w="57" w:type="dxa"/>
              <w:bottom w:w="57" w:type="dxa"/>
              <w:right w:w="57" w:type="dxa"/>
            </w:tcMar>
            <w:vAlign w:val="center"/>
          </w:tcPr>
          <w:p w:rsidR="00992649" w:rsidRPr="00A95DB9" w:rsidRDefault="00992649" w:rsidP="00992649">
            <w:pPr>
              <w:ind w:left="0"/>
              <w:jc w:val="left"/>
            </w:pPr>
            <w:r w:rsidRPr="00A95DB9">
              <w:t>CERIDIAN HCM HOLDING INC</w:t>
            </w:r>
          </w:p>
        </w:tc>
        <w:tc>
          <w:tcPr>
            <w:tcW w:w="1294" w:type="dxa"/>
            <w:tcMar>
              <w:top w:w="57" w:type="dxa"/>
              <w:left w:w="57" w:type="dxa"/>
              <w:bottom w:w="57" w:type="dxa"/>
              <w:right w:w="57" w:type="dxa"/>
            </w:tcMar>
            <w:vAlign w:val="center"/>
          </w:tcPr>
          <w:p w:rsidR="00992649" w:rsidRPr="005F704D" w:rsidRDefault="00992649" w:rsidP="00992649">
            <w:pPr>
              <w:ind w:left="0"/>
              <w:jc w:val="left"/>
            </w:pPr>
            <w:r w:rsidRPr="005F704D">
              <w:t>Commercial Services</w:t>
            </w:r>
          </w:p>
        </w:tc>
        <w:tc>
          <w:tcPr>
            <w:tcW w:w="974" w:type="dxa"/>
            <w:tcMar>
              <w:top w:w="57" w:type="dxa"/>
              <w:left w:w="57" w:type="dxa"/>
              <w:bottom w:w="57" w:type="dxa"/>
              <w:right w:w="57" w:type="dxa"/>
            </w:tcMar>
            <w:vAlign w:val="center"/>
          </w:tcPr>
          <w:p w:rsidR="00992649" w:rsidRPr="005723ED" w:rsidRDefault="00992649" w:rsidP="00992649">
            <w:pPr>
              <w:ind w:left="0"/>
              <w:jc w:val="center"/>
            </w:pPr>
            <w:r w:rsidRPr="005723ED">
              <w:t>15-Mar-21</w:t>
            </w:r>
          </w:p>
        </w:tc>
        <w:tc>
          <w:tcPr>
            <w:tcW w:w="1134" w:type="dxa"/>
            <w:tcMar>
              <w:top w:w="57" w:type="dxa"/>
              <w:left w:w="57" w:type="dxa"/>
              <w:bottom w:w="57" w:type="dxa"/>
              <w:right w:w="57" w:type="dxa"/>
            </w:tcMar>
            <w:vAlign w:val="center"/>
          </w:tcPr>
          <w:p w:rsidR="00992649" w:rsidRPr="005723ED" w:rsidRDefault="00992649" w:rsidP="00992649">
            <w:pPr>
              <w:ind w:left="0"/>
              <w:jc w:val="center"/>
            </w:pPr>
            <w:r w:rsidRPr="005723ED">
              <w:t>5.9</w:t>
            </w:r>
          </w:p>
        </w:tc>
        <w:tc>
          <w:tcPr>
            <w:tcW w:w="854" w:type="dxa"/>
            <w:tcMar>
              <w:top w:w="57" w:type="dxa"/>
              <w:left w:w="57" w:type="dxa"/>
              <w:bottom w:w="57" w:type="dxa"/>
              <w:right w:w="57" w:type="dxa"/>
            </w:tcMar>
            <w:vAlign w:val="center"/>
          </w:tcPr>
          <w:p w:rsidR="00992649" w:rsidRPr="003B0CDA" w:rsidRDefault="00992649" w:rsidP="00992649">
            <w:pPr>
              <w:ind w:left="0"/>
              <w:jc w:val="center"/>
            </w:pPr>
            <w:r w:rsidRPr="003B0CDA">
              <w:t>10.0220</w:t>
            </w:r>
          </w:p>
        </w:tc>
      </w:tr>
      <w:tr w:rsidR="00992649" w:rsidTr="00992649">
        <w:trPr>
          <w:jc w:val="center"/>
        </w:trPr>
        <w:tc>
          <w:tcPr>
            <w:tcW w:w="421" w:type="dxa"/>
            <w:vAlign w:val="center"/>
          </w:tcPr>
          <w:p w:rsidR="00992649" w:rsidRDefault="00992649" w:rsidP="00992649">
            <w:pPr>
              <w:pStyle w:val="IFRS9Text"/>
              <w:spacing w:after="0" w:line="240" w:lineRule="atLeast"/>
              <w:ind w:left="0" w:right="4"/>
              <w:jc w:val="center"/>
              <w:rPr>
                <w:rFonts w:ascii="Arial" w:eastAsiaTheme="minorEastAsia" w:hAnsi="Arial" w:cs="Arial"/>
              </w:rPr>
            </w:pPr>
            <w:r>
              <w:rPr>
                <w:rFonts w:ascii="Arial" w:eastAsiaTheme="minorEastAsia" w:hAnsi="Arial" w:cs="Arial"/>
              </w:rPr>
              <w:t>8</w:t>
            </w:r>
          </w:p>
        </w:tc>
        <w:tc>
          <w:tcPr>
            <w:tcW w:w="1417" w:type="dxa"/>
            <w:tcMar>
              <w:top w:w="57" w:type="dxa"/>
              <w:left w:w="57" w:type="dxa"/>
              <w:bottom w:w="57" w:type="dxa"/>
              <w:right w:w="57" w:type="dxa"/>
            </w:tcMar>
            <w:vAlign w:val="center"/>
          </w:tcPr>
          <w:p w:rsidR="00992649" w:rsidRPr="00EB2724" w:rsidRDefault="00992649" w:rsidP="00992649">
            <w:pPr>
              <w:ind w:left="0"/>
            </w:pPr>
            <w:r w:rsidRPr="00EB2724">
              <w:t>EI810032 Corp</w:t>
            </w:r>
          </w:p>
        </w:tc>
        <w:tc>
          <w:tcPr>
            <w:tcW w:w="2977" w:type="dxa"/>
            <w:tcMar>
              <w:top w:w="57" w:type="dxa"/>
              <w:left w:w="57" w:type="dxa"/>
              <w:bottom w:w="57" w:type="dxa"/>
              <w:right w:w="57" w:type="dxa"/>
            </w:tcMar>
            <w:vAlign w:val="center"/>
          </w:tcPr>
          <w:p w:rsidR="00992649" w:rsidRPr="00A95DB9" w:rsidRDefault="00992649" w:rsidP="00992649">
            <w:pPr>
              <w:ind w:left="0"/>
              <w:jc w:val="left"/>
            </w:pPr>
            <w:r w:rsidRPr="00A95DB9">
              <w:t>DJO FIN LLC/DJO FIN CORP</w:t>
            </w:r>
          </w:p>
        </w:tc>
        <w:tc>
          <w:tcPr>
            <w:tcW w:w="1294" w:type="dxa"/>
            <w:tcMar>
              <w:top w:w="57" w:type="dxa"/>
              <w:left w:w="57" w:type="dxa"/>
              <w:bottom w:w="57" w:type="dxa"/>
              <w:right w:w="57" w:type="dxa"/>
            </w:tcMar>
            <w:vAlign w:val="center"/>
          </w:tcPr>
          <w:p w:rsidR="00992649" w:rsidRPr="005F704D" w:rsidRDefault="00992649" w:rsidP="00992649">
            <w:pPr>
              <w:ind w:left="0"/>
              <w:jc w:val="left"/>
            </w:pPr>
            <w:r w:rsidRPr="005F704D">
              <w:t>Healthcare-Products</w:t>
            </w:r>
          </w:p>
        </w:tc>
        <w:tc>
          <w:tcPr>
            <w:tcW w:w="974" w:type="dxa"/>
            <w:tcMar>
              <w:top w:w="57" w:type="dxa"/>
              <w:left w:w="57" w:type="dxa"/>
              <w:bottom w:w="57" w:type="dxa"/>
              <w:right w:w="57" w:type="dxa"/>
            </w:tcMar>
            <w:vAlign w:val="center"/>
          </w:tcPr>
          <w:p w:rsidR="00992649" w:rsidRPr="005723ED" w:rsidRDefault="00992649" w:rsidP="00992649">
            <w:pPr>
              <w:ind w:left="0"/>
              <w:jc w:val="center"/>
            </w:pPr>
            <w:r w:rsidRPr="005723ED">
              <w:t>15-Oct-17</w:t>
            </w:r>
          </w:p>
        </w:tc>
        <w:tc>
          <w:tcPr>
            <w:tcW w:w="1134" w:type="dxa"/>
            <w:tcMar>
              <w:top w:w="57" w:type="dxa"/>
              <w:left w:w="57" w:type="dxa"/>
              <w:bottom w:w="57" w:type="dxa"/>
              <w:right w:w="57" w:type="dxa"/>
            </w:tcMar>
            <w:vAlign w:val="center"/>
          </w:tcPr>
          <w:p w:rsidR="00992649" w:rsidRPr="005723ED" w:rsidRDefault="00992649" w:rsidP="00992649">
            <w:pPr>
              <w:ind w:left="0"/>
              <w:jc w:val="center"/>
            </w:pPr>
            <w:r w:rsidRPr="005723ED">
              <w:t>2.5</w:t>
            </w:r>
          </w:p>
        </w:tc>
        <w:tc>
          <w:tcPr>
            <w:tcW w:w="854" w:type="dxa"/>
            <w:tcMar>
              <w:top w:w="57" w:type="dxa"/>
              <w:left w:w="57" w:type="dxa"/>
              <w:bottom w:w="57" w:type="dxa"/>
              <w:right w:w="57" w:type="dxa"/>
            </w:tcMar>
            <w:vAlign w:val="center"/>
          </w:tcPr>
          <w:p w:rsidR="00992649" w:rsidRPr="003B0CDA" w:rsidRDefault="00992649" w:rsidP="00992649">
            <w:pPr>
              <w:ind w:left="0"/>
              <w:jc w:val="center"/>
            </w:pPr>
            <w:r w:rsidRPr="003B0CDA">
              <w:t>7.4700</w:t>
            </w:r>
          </w:p>
        </w:tc>
      </w:tr>
      <w:tr w:rsidR="00992649" w:rsidTr="00992649">
        <w:trPr>
          <w:jc w:val="center"/>
        </w:trPr>
        <w:tc>
          <w:tcPr>
            <w:tcW w:w="421" w:type="dxa"/>
            <w:vAlign w:val="center"/>
          </w:tcPr>
          <w:p w:rsidR="00992649" w:rsidRDefault="00992649" w:rsidP="00992649">
            <w:pPr>
              <w:pStyle w:val="IFRS9Text"/>
              <w:spacing w:after="0" w:line="240" w:lineRule="atLeast"/>
              <w:ind w:left="0" w:right="4"/>
              <w:jc w:val="center"/>
              <w:rPr>
                <w:rFonts w:ascii="Arial" w:eastAsiaTheme="minorEastAsia" w:hAnsi="Arial" w:cs="Arial"/>
              </w:rPr>
            </w:pPr>
            <w:r>
              <w:rPr>
                <w:rFonts w:ascii="Arial" w:eastAsiaTheme="minorEastAsia" w:hAnsi="Arial" w:cs="Arial"/>
              </w:rPr>
              <w:t>9</w:t>
            </w:r>
          </w:p>
        </w:tc>
        <w:tc>
          <w:tcPr>
            <w:tcW w:w="1417" w:type="dxa"/>
            <w:tcMar>
              <w:top w:w="57" w:type="dxa"/>
              <w:left w:w="57" w:type="dxa"/>
              <w:bottom w:w="57" w:type="dxa"/>
              <w:right w:w="57" w:type="dxa"/>
            </w:tcMar>
            <w:vAlign w:val="center"/>
          </w:tcPr>
          <w:p w:rsidR="00992649" w:rsidRPr="00EB2724" w:rsidRDefault="00992649" w:rsidP="00992649">
            <w:pPr>
              <w:ind w:left="0"/>
            </w:pPr>
            <w:r w:rsidRPr="00EB2724">
              <w:t>EC117098 Corp</w:t>
            </w:r>
          </w:p>
        </w:tc>
        <w:tc>
          <w:tcPr>
            <w:tcW w:w="2977" w:type="dxa"/>
            <w:tcMar>
              <w:top w:w="57" w:type="dxa"/>
              <w:left w:w="57" w:type="dxa"/>
              <w:bottom w:w="57" w:type="dxa"/>
              <w:right w:w="57" w:type="dxa"/>
            </w:tcMar>
            <w:vAlign w:val="center"/>
          </w:tcPr>
          <w:p w:rsidR="00992649" w:rsidRPr="00A95DB9" w:rsidRDefault="00992649" w:rsidP="00992649">
            <w:pPr>
              <w:ind w:left="0"/>
              <w:jc w:val="left"/>
            </w:pPr>
            <w:r w:rsidRPr="00A95DB9">
              <w:t>MCCLATCHY CO</w:t>
            </w:r>
          </w:p>
        </w:tc>
        <w:tc>
          <w:tcPr>
            <w:tcW w:w="1294" w:type="dxa"/>
            <w:tcMar>
              <w:top w:w="57" w:type="dxa"/>
              <w:left w:w="57" w:type="dxa"/>
              <w:bottom w:w="57" w:type="dxa"/>
              <w:right w:w="57" w:type="dxa"/>
            </w:tcMar>
            <w:vAlign w:val="center"/>
          </w:tcPr>
          <w:p w:rsidR="00992649" w:rsidRPr="005F704D" w:rsidRDefault="00992649" w:rsidP="00992649">
            <w:pPr>
              <w:ind w:left="0"/>
              <w:jc w:val="left"/>
            </w:pPr>
            <w:r w:rsidRPr="005F704D">
              <w:t>Media</w:t>
            </w:r>
          </w:p>
        </w:tc>
        <w:tc>
          <w:tcPr>
            <w:tcW w:w="974" w:type="dxa"/>
            <w:tcMar>
              <w:top w:w="57" w:type="dxa"/>
              <w:left w:w="57" w:type="dxa"/>
              <w:bottom w:w="57" w:type="dxa"/>
              <w:right w:w="57" w:type="dxa"/>
            </w:tcMar>
            <w:vAlign w:val="center"/>
          </w:tcPr>
          <w:p w:rsidR="00992649" w:rsidRPr="005723ED" w:rsidRDefault="00992649" w:rsidP="00992649">
            <w:pPr>
              <w:ind w:left="0"/>
              <w:jc w:val="center"/>
            </w:pPr>
            <w:r w:rsidRPr="005723ED">
              <w:t>15-Mar-29</w:t>
            </w:r>
          </w:p>
        </w:tc>
        <w:tc>
          <w:tcPr>
            <w:tcW w:w="1134" w:type="dxa"/>
            <w:tcMar>
              <w:top w:w="57" w:type="dxa"/>
              <w:left w:w="57" w:type="dxa"/>
              <w:bottom w:w="57" w:type="dxa"/>
              <w:right w:w="57" w:type="dxa"/>
            </w:tcMar>
            <w:vAlign w:val="center"/>
          </w:tcPr>
          <w:p w:rsidR="00992649" w:rsidRPr="005723ED" w:rsidRDefault="00992649" w:rsidP="00992649">
            <w:pPr>
              <w:ind w:left="0"/>
              <w:jc w:val="center"/>
            </w:pPr>
            <w:r w:rsidRPr="005723ED">
              <w:t>13.9</w:t>
            </w:r>
          </w:p>
        </w:tc>
        <w:tc>
          <w:tcPr>
            <w:tcW w:w="854" w:type="dxa"/>
            <w:tcMar>
              <w:top w:w="57" w:type="dxa"/>
              <w:left w:w="57" w:type="dxa"/>
              <w:bottom w:w="57" w:type="dxa"/>
              <w:right w:w="57" w:type="dxa"/>
            </w:tcMar>
            <w:vAlign w:val="center"/>
          </w:tcPr>
          <w:p w:rsidR="00992649" w:rsidRPr="003B0CDA" w:rsidRDefault="00992649" w:rsidP="00992649">
            <w:pPr>
              <w:ind w:left="0"/>
              <w:jc w:val="center"/>
            </w:pPr>
            <w:r w:rsidRPr="003B0CDA">
              <w:t>14.7560</w:t>
            </w:r>
          </w:p>
        </w:tc>
      </w:tr>
      <w:tr w:rsidR="00992649" w:rsidTr="00992649">
        <w:trPr>
          <w:jc w:val="center"/>
        </w:trPr>
        <w:tc>
          <w:tcPr>
            <w:tcW w:w="421" w:type="dxa"/>
            <w:vAlign w:val="center"/>
          </w:tcPr>
          <w:p w:rsidR="00992649" w:rsidRDefault="00992649" w:rsidP="00992649">
            <w:pPr>
              <w:pStyle w:val="IFRS9Text"/>
              <w:spacing w:after="0" w:line="240" w:lineRule="atLeast"/>
              <w:ind w:left="0" w:right="4"/>
              <w:jc w:val="center"/>
              <w:rPr>
                <w:rFonts w:ascii="Arial" w:eastAsiaTheme="minorEastAsia" w:hAnsi="Arial" w:cs="Arial"/>
              </w:rPr>
            </w:pPr>
            <w:r>
              <w:rPr>
                <w:rFonts w:ascii="Arial" w:eastAsiaTheme="minorEastAsia" w:hAnsi="Arial" w:cs="Arial"/>
              </w:rPr>
              <w:t>10</w:t>
            </w:r>
          </w:p>
        </w:tc>
        <w:tc>
          <w:tcPr>
            <w:tcW w:w="1417" w:type="dxa"/>
            <w:tcMar>
              <w:top w:w="57" w:type="dxa"/>
              <w:left w:w="57" w:type="dxa"/>
              <w:bottom w:w="57" w:type="dxa"/>
              <w:right w:w="57" w:type="dxa"/>
            </w:tcMar>
            <w:vAlign w:val="center"/>
          </w:tcPr>
          <w:p w:rsidR="00992649" w:rsidRPr="00EB2724" w:rsidRDefault="00992649" w:rsidP="00992649">
            <w:pPr>
              <w:ind w:left="0"/>
            </w:pPr>
            <w:r w:rsidRPr="00EB2724">
              <w:t>DD112817 Corp</w:t>
            </w:r>
          </w:p>
        </w:tc>
        <w:tc>
          <w:tcPr>
            <w:tcW w:w="2977" w:type="dxa"/>
            <w:tcMar>
              <w:top w:w="57" w:type="dxa"/>
              <w:left w:w="57" w:type="dxa"/>
              <w:bottom w:w="57" w:type="dxa"/>
              <w:right w:w="57" w:type="dxa"/>
            </w:tcMar>
            <w:vAlign w:val="center"/>
          </w:tcPr>
          <w:p w:rsidR="00992649" w:rsidRPr="00A95DB9" w:rsidRDefault="00992649" w:rsidP="00992649">
            <w:pPr>
              <w:ind w:left="0"/>
              <w:jc w:val="left"/>
            </w:pPr>
            <w:r w:rsidRPr="00A95DB9">
              <w:t>MCCLATCHY CO</w:t>
            </w:r>
          </w:p>
        </w:tc>
        <w:tc>
          <w:tcPr>
            <w:tcW w:w="1294" w:type="dxa"/>
            <w:tcMar>
              <w:top w:w="57" w:type="dxa"/>
              <w:left w:w="57" w:type="dxa"/>
              <w:bottom w:w="57" w:type="dxa"/>
              <w:right w:w="57" w:type="dxa"/>
            </w:tcMar>
            <w:vAlign w:val="center"/>
          </w:tcPr>
          <w:p w:rsidR="00992649" w:rsidRPr="005F704D" w:rsidRDefault="00992649" w:rsidP="00992649">
            <w:pPr>
              <w:ind w:left="0"/>
              <w:jc w:val="left"/>
            </w:pPr>
            <w:r w:rsidRPr="005F704D">
              <w:t>Media</w:t>
            </w:r>
          </w:p>
        </w:tc>
        <w:tc>
          <w:tcPr>
            <w:tcW w:w="974" w:type="dxa"/>
            <w:tcMar>
              <w:top w:w="57" w:type="dxa"/>
              <w:left w:w="57" w:type="dxa"/>
              <w:bottom w:w="57" w:type="dxa"/>
              <w:right w:w="57" w:type="dxa"/>
            </w:tcMar>
            <w:vAlign w:val="center"/>
          </w:tcPr>
          <w:p w:rsidR="00992649" w:rsidRPr="005723ED" w:rsidRDefault="00992649" w:rsidP="00992649">
            <w:pPr>
              <w:ind w:left="0"/>
              <w:jc w:val="center"/>
            </w:pPr>
            <w:r w:rsidRPr="005723ED">
              <w:t>1-Nov-27</w:t>
            </w:r>
          </w:p>
        </w:tc>
        <w:tc>
          <w:tcPr>
            <w:tcW w:w="1134" w:type="dxa"/>
            <w:tcMar>
              <w:top w:w="57" w:type="dxa"/>
              <w:left w:w="57" w:type="dxa"/>
              <w:bottom w:w="57" w:type="dxa"/>
              <w:right w:w="57" w:type="dxa"/>
            </w:tcMar>
            <w:vAlign w:val="center"/>
          </w:tcPr>
          <w:p w:rsidR="00992649" w:rsidRPr="005723ED" w:rsidRDefault="00992649" w:rsidP="00992649">
            <w:pPr>
              <w:ind w:left="0"/>
              <w:jc w:val="center"/>
            </w:pPr>
            <w:r w:rsidRPr="005723ED">
              <w:t>12.5</w:t>
            </w:r>
          </w:p>
        </w:tc>
        <w:tc>
          <w:tcPr>
            <w:tcW w:w="854" w:type="dxa"/>
            <w:tcMar>
              <w:top w:w="57" w:type="dxa"/>
              <w:left w:w="57" w:type="dxa"/>
              <w:bottom w:w="57" w:type="dxa"/>
              <w:right w:w="57" w:type="dxa"/>
            </w:tcMar>
            <w:vAlign w:val="center"/>
          </w:tcPr>
          <w:p w:rsidR="00992649" w:rsidRPr="003B0CDA" w:rsidRDefault="00992649" w:rsidP="00992649">
            <w:pPr>
              <w:ind w:left="0"/>
              <w:jc w:val="center"/>
            </w:pPr>
            <w:r w:rsidRPr="003B0CDA">
              <w:t>14.2960</w:t>
            </w:r>
          </w:p>
        </w:tc>
      </w:tr>
      <w:tr w:rsidR="00992649" w:rsidTr="00992649">
        <w:trPr>
          <w:jc w:val="center"/>
        </w:trPr>
        <w:tc>
          <w:tcPr>
            <w:tcW w:w="421" w:type="dxa"/>
            <w:vAlign w:val="center"/>
          </w:tcPr>
          <w:p w:rsidR="00992649" w:rsidRDefault="00992649" w:rsidP="00992649">
            <w:pPr>
              <w:pStyle w:val="IFRS9Text"/>
              <w:spacing w:after="0" w:line="240" w:lineRule="atLeast"/>
              <w:ind w:left="0" w:right="4"/>
              <w:jc w:val="center"/>
              <w:rPr>
                <w:rFonts w:ascii="Arial" w:eastAsiaTheme="minorEastAsia" w:hAnsi="Arial" w:cs="Arial"/>
              </w:rPr>
            </w:pPr>
            <w:r>
              <w:rPr>
                <w:rFonts w:ascii="Arial" w:eastAsiaTheme="minorEastAsia" w:hAnsi="Arial" w:cs="Arial"/>
              </w:rPr>
              <w:t>11</w:t>
            </w:r>
          </w:p>
        </w:tc>
        <w:tc>
          <w:tcPr>
            <w:tcW w:w="1417" w:type="dxa"/>
            <w:tcMar>
              <w:top w:w="57" w:type="dxa"/>
              <w:left w:w="57" w:type="dxa"/>
              <w:bottom w:w="57" w:type="dxa"/>
              <w:right w:w="57" w:type="dxa"/>
            </w:tcMar>
            <w:vAlign w:val="center"/>
          </w:tcPr>
          <w:p w:rsidR="00992649" w:rsidRPr="00EB2724" w:rsidRDefault="00992649" w:rsidP="00992649">
            <w:pPr>
              <w:ind w:left="0"/>
            </w:pPr>
            <w:r w:rsidRPr="00EB2724">
              <w:t>EF062853 Corp</w:t>
            </w:r>
          </w:p>
        </w:tc>
        <w:tc>
          <w:tcPr>
            <w:tcW w:w="2977" w:type="dxa"/>
            <w:tcMar>
              <w:top w:w="57" w:type="dxa"/>
              <w:left w:w="57" w:type="dxa"/>
              <w:bottom w:w="57" w:type="dxa"/>
              <w:right w:w="57" w:type="dxa"/>
            </w:tcMar>
            <w:vAlign w:val="center"/>
          </w:tcPr>
          <w:p w:rsidR="00992649" w:rsidRPr="00A95DB9" w:rsidRDefault="00992649" w:rsidP="00992649">
            <w:pPr>
              <w:ind w:left="0"/>
              <w:jc w:val="left"/>
            </w:pPr>
            <w:r w:rsidRPr="00A95DB9">
              <w:t>MCCLATCHY CO</w:t>
            </w:r>
          </w:p>
        </w:tc>
        <w:tc>
          <w:tcPr>
            <w:tcW w:w="1294" w:type="dxa"/>
            <w:tcMar>
              <w:top w:w="57" w:type="dxa"/>
              <w:left w:w="57" w:type="dxa"/>
              <w:bottom w:w="57" w:type="dxa"/>
              <w:right w:w="57" w:type="dxa"/>
            </w:tcMar>
            <w:vAlign w:val="center"/>
          </w:tcPr>
          <w:p w:rsidR="00992649" w:rsidRPr="005F704D" w:rsidRDefault="00992649" w:rsidP="00992649">
            <w:pPr>
              <w:ind w:left="0"/>
              <w:jc w:val="left"/>
            </w:pPr>
            <w:r w:rsidRPr="005F704D">
              <w:t>Media</w:t>
            </w:r>
          </w:p>
        </w:tc>
        <w:tc>
          <w:tcPr>
            <w:tcW w:w="974" w:type="dxa"/>
            <w:tcMar>
              <w:top w:w="57" w:type="dxa"/>
              <w:left w:w="57" w:type="dxa"/>
              <w:bottom w:w="57" w:type="dxa"/>
              <w:right w:w="57" w:type="dxa"/>
            </w:tcMar>
            <w:vAlign w:val="center"/>
          </w:tcPr>
          <w:p w:rsidR="00992649" w:rsidRPr="005723ED" w:rsidRDefault="00992649" w:rsidP="00992649">
            <w:pPr>
              <w:ind w:left="0"/>
              <w:jc w:val="center"/>
            </w:pPr>
            <w:r w:rsidRPr="005723ED">
              <w:t>1-Sep-17</w:t>
            </w:r>
          </w:p>
        </w:tc>
        <w:tc>
          <w:tcPr>
            <w:tcW w:w="1134" w:type="dxa"/>
            <w:tcMar>
              <w:top w:w="57" w:type="dxa"/>
              <w:left w:w="57" w:type="dxa"/>
              <w:bottom w:w="57" w:type="dxa"/>
              <w:right w:w="57" w:type="dxa"/>
            </w:tcMar>
            <w:vAlign w:val="center"/>
          </w:tcPr>
          <w:p w:rsidR="00992649" w:rsidRPr="005723ED" w:rsidRDefault="00992649" w:rsidP="00992649">
            <w:pPr>
              <w:ind w:left="0"/>
              <w:jc w:val="center"/>
            </w:pPr>
            <w:r w:rsidRPr="005723ED">
              <w:t>2.4</w:t>
            </w:r>
          </w:p>
        </w:tc>
        <w:tc>
          <w:tcPr>
            <w:tcW w:w="854" w:type="dxa"/>
            <w:tcMar>
              <w:top w:w="57" w:type="dxa"/>
              <w:left w:w="57" w:type="dxa"/>
              <w:bottom w:w="57" w:type="dxa"/>
              <w:right w:w="57" w:type="dxa"/>
            </w:tcMar>
            <w:vAlign w:val="center"/>
          </w:tcPr>
          <w:p w:rsidR="00992649" w:rsidRPr="003B0CDA" w:rsidRDefault="00992649" w:rsidP="00992649">
            <w:pPr>
              <w:ind w:left="0"/>
              <w:jc w:val="center"/>
            </w:pPr>
            <w:r w:rsidRPr="003B0CDA">
              <w:t>7.6680</w:t>
            </w:r>
          </w:p>
        </w:tc>
      </w:tr>
      <w:tr w:rsidR="00992649" w:rsidTr="00992649">
        <w:trPr>
          <w:jc w:val="center"/>
        </w:trPr>
        <w:tc>
          <w:tcPr>
            <w:tcW w:w="421" w:type="dxa"/>
            <w:vAlign w:val="center"/>
          </w:tcPr>
          <w:p w:rsidR="00992649" w:rsidRDefault="00992649" w:rsidP="00992649">
            <w:pPr>
              <w:pStyle w:val="IFRS9Text"/>
              <w:spacing w:after="0" w:line="240" w:lineRule="atLeast"/>
              <w:ind w:left="0" w:right="4"/>
              <w:jc w:val="center"/>
              <w:rPr>
                <w:rFonts w:ascii="Arial" w:eastAsiaTheme="minorEastAsia" w:hAnsi="Arial" w:cs="Arial"/>
              </w:rPr>
            </w:pPr>
            <w:r>
              <w:rPr>
                <w:rFonts w:ascii="Arial" w:eastAsiaTheme="minorEastAsia" w:hAnsi="Arial" w:cs="Arial"/>
              </w:rPr>
              <w:t>12</w:t>
            </w:r>
          </w:p>
        </w:tc>
        <w:tc>
          <w:tcPr>
            <w:tcW w:w="1417" w:type="dxa"/>
            <w:tcMar>
              <w:top w:w="57" w:type="dxa"/>
              <w:left w:w="57" w:type="dxa"/>
              <w:bottom w:w="57" w:type="dxa"/>
              <w:right w:w="57" w:type="dxa"/>
            </w:tcMar>
            <w:vAlign w:val="center"/>
          </w:tcPr>
          <w:p w:rsidR="00992649" w:rsidRPr="00EB2724" w:rsidRDefault="00992649" w:rsidP="00992649">
            <w:pPr>
              <w:ind w:left="0"/>
            </w:pPr>
            <w:r w:rsidRPr="00EB2724">
              <w:t>EK227300 Corp</w:t>
            </w:r>
          </w:p>
        </w:tc>
        <w:tc>
          <w:tcPr>
            <w:tcW w:w="2977" w:type="dxa"/>
            <w:tcMar>
              <w:top w:w="57" w:type="dxa"/>
              <w:left w:w="57" w:type="dxa"/>
              <w:bottom w:w="57" w:type="dxa"/>
              <w:right w:w="57" w:type="dxa"/>
            </w:tcMar>
            <w:vAlign w:val="center"/>
          </w:tcPr>
          <w:p w:rsidR="00992649" w:rsidRPr="00A95DB9" w:rsidRDefault="00992649" w:rsidP="00992649">
            <w:pPr>
              <w:ind w:left="0"/>
              <w:jc w:val="left"/>
            </w:pPr>
            <w:r w:rsidRPr="00A95DB9">
              <w:t>NINE WEST HOLDINGS INC</w:t>
            </w:r>
          </w:p>
        </w:tc>
        <w:tc>
          <w:tcPr>
            <w:tcW w:w="1294" w:type="dxa"/>
            <w:tcMar>
              <w:top w:w="57" w:type="dxa"/>
              <w:left w:w="57" w:type="dxa"/>
              <w:bottom w:w="57" w:type="dxa"/>
              <w:right w:w="57" w:type="dxa"/>
            </w:tcMar>
            <w:vAlign w:val="center"/>
          </w:tcPr>
          <w:p w:rsidR="00992649" w:rsidRPr="005F704D" w:rsidRDefault="00992649" w:rsidP="00992649">
            <w:pPr>
              <w:ind w:left="0"/>
              <w:jc w:val="left"/>
            </w:pPr>
            <w:r w:rsidRPr="005F704D">
              <w:t>Apparel</w:t>
            </w:r>
          </w:p>
        </w:tc>
        <w:tc>
          <w:tcPr>
            <w:tcW w:w="974" w:type="dxa"/>
            <w:tcMar>
              <w:top w:w="57" w:type="dxa"/>
              <w:left w:w="57" w:type="dxa"/>
              <w:bottom w:w="57" w:type="dxa"/>
              <w:right w:w="57" w:type="dxa"/>
            </w:tcMar>
            <w:vAlign w:val="center"/>
          </w:tcPr>
          <w:p w:rsidR="00992649" w:rsidRPr="005723ED" w:rsidRDefault="00992649" w:rsidP="00992649">
            <w:pPr>
              <w:ind w:left="0"/>
              <w:jc w:val="center"/>
            </w:pPr>
            <w:r w:rsidRPr="005723ED">
              <w:t>15-Mar-19</w:t>
            </w:r>
          </w:p>
        </w:tc>
        <w:tc>
          <w:tcPr>
            <w:tcW w:w="1134" w:type="dxa"/>
            <w:tcMar>
              <w:top w:w="57" w:type="dxa"/>
              <w:left w:w="57" w:type="dxa"/>
              <w:bottom w:w="57" w:type="dxa"/>
              <w:right w:w="57" w:type="dxa"/>
            </w:tcMar>
            <w:vAlign w:val="center"/>
          </w:tcPr>
          <w:p w:rsidR="00992649" w:rsidRPr="005723ED" w:rsidRDefault="00992649" w:rsidP="00992649">
            <w:pPr>
              <w:ind w:left="0"/>
              <w:jc w:val="center"/>
            </w:pPr>
            <w:r w:rsidRPr="005723ED">
              <w:t>3.9</w:t>
            </w:r>
          </w:p>
        </w:tc>
        <w:tc>
          <w:tcPr>
            <w:tcW w:w="854" w:type="dxa"/>
            <w:tcMar>
              <w:top w:w="57" w:type="dxa"/>
              <w:left w:w="57" w:type="dxa"/>
              <w:bottom w:w="57" w:type="dxa"/>
              <w:right w:w="57" w:type="dxa"/>
            </w:tcMar>
            <w:vAlign w:val="center"/>
          </w:tcPr>
          <w:p w:rsidR="00992649" w:rsidRPr="003B0CDA" w:rsidRDefault="00992649" w:rsidP="00992649">
            <w:pPr>
              <w:ind w:left="0"/>
              <w:jc w:val="center"/>
            </w:pPr>
            <w:r w:rsidRPr="003B0CDA">
              <w:t>13.6100</w:t>
            </w:r>
          </w:p>
        </w:tc>
      </w:tr>
      <w:tr w:rsidR="00992649" w:rsidTr="00992649">
        <w:trPr>
          <w:jc w:val="center"/>
        </w:trPr>
        <w:tc>
          <w:tcPr>
            <w:tcW w:w="421" w:type="dxa"/>
            <w:vAlign w:val="center"/>
          </w:tcPr>
          <w:p w:rsidR="00992649" w:rsidRDefault="00992649" w:rsidP="00992649">
            <w:pPr>
              <w:pStyle w:val="IFRS9Text"/>
              <w:spacing w:after="0" w:line="240" w:lineRule="atLeast"/>
              <w:ind w:left="0" w:right="4"/>
              <w:jc w:val="center"/>
              <w:rPr>
                <w:rFonts w:ascii="Arial" w:eastAsiaTheme="minorEastAsia" w:hAnsi="Arial" w:cs="Arial"/>
              </w:rPr>
            </w:pPr>
            <w:r>
              <w:rPr>
                <w:rFonts w:ascii="Arial" w:eastAsiaTheme="minorEastAsia" w:hAnsi="Arial" w:cs="Arial"/>
              </w:rPr>
              <w:t>13</w:t>
            </w:r>
          </w:p>
        </w:tc>
        <w:tc>
          <w:tcPr>
            <w:tcW w:w="1417" w:type="dxa"/>
            <w:tcMar>
              <w:top w:w="57" w:type="dxa"/>
              <w:left w:w="57" w:type="dxa"/>
              <w:bottom w:w="57" w:type="dxa"/>
              <w:right w:w="57" w:type="dxa"/>
            </w:tcMar>
            <w:vAlign w:val="center"/>
          </w:tcPr>
          <w:p w:rsidR="00992649" w:rsidRPr="00EB2724" w:rsidRDefault="00992649" w:rsidP="00992649">
            <w:pPr>
              <w:ind w:left="0"/>
            </w:pPr>
            <w:r w:rsidRPr="00EB2724">
              <w:t>EK056164 Corp</w:t>
            </w:r>
          </w:p>
        </w:tc>
        <w:tc>
          <w:tcPr>
            <w:tcW w:w="2977" w:type="dxa"/>
            <w:tcMar>
              <w:top w:w="57" w:type="dxa"/>
              <w:left w:w="57" w:type="dxa"/>
              <w:bottom w:w="57" w:type="dxa"/>
              <w:right w:w="57" w:type="dxa"/>
            </w:tcMar>
            <w:vAlign w:val="center"/>
          </w:tcPr>
          <w:p w:rsidR="00992649" w:rsidRPr="00A95DB9" w:rsidRDefault="00992649" w:rsidP="00992649">
            <w:pPr>
              <w:ind w:left="0"/>
              <w:jc w:val="left"/>
            </w:pPr>
            <w:r w:rsidRPr="00A95DB9">
              <w:t>NORANDA ALUMINUM ACQUISI</w:t>
            </w:r>
          </w:p>
        </w:tc>
        <w:tc>
          <w:tcPr>
            <w:tcW w:w="1294" w:type="dxa"/>
            <w:tcMar>
              <w:top w:w="57" w:type="dxa"/>
              <w:left w:w="57" w:type="dxa"/>
              <w:bottom w:w="57" w:type="dxa"/>
              <w:right w:w="57" w:type="dxa"/>
            </w:tcMar>
            <w:vAlign w:val="center"/>
          </w:tcPr>
          <w:p w:rsidR="00992649" w:rsidRPr="005F704D" w:rsidRDefault="00992649" w:rsidP="00992649">
            <w:pPr>
              <w:ind w:left="0"/>
            </w:pPr>
            <w:r w:rsidRPr="005F704D">
              <w:t>Mining</w:t>
            </w:r>
          </w:p>
        </w:tc>
        <w:tc>
          <w:tcPr>
            <w:tcW w:w="974" w:type="dxa"/>
            <w:tcMar>
              <w:top w:w="57" w:type="dxa"/>
              <w:left w:w="57" w:type="dxa"/>
              <w:bottom w:w="57" w:type="dxa"/>
              <w:right w:w="57" w:type="dxa"/>
            </w:tcMar>
            <w:vAlign w:val="center"/>
          </w:tcPr>
          <w:p w:rsidR="00992649" w:rsidRPr="005723ED" w:rsidRDefault="00992649" w:rsidP="00992649">
            <w:pPr>
              <w:ind w:left="0"/>
              <w:jc w:val="center"/>
            </w:pPr>
            <w:r w:rsidRPr="005723ED">
              <w:t>1-Jun-19</w:t>
            </w:r>
          </w:p>
        </w:tc>
        <w:tc>
          <w:tcPr>
            <w:tcW w:w="1134" w:type="dxa"/>
            <w:tcMar>
              <w:top w:w="57" w:type="dxa"/>
              <w:left w:w="57" w:type="dxa"/>
              <w:bottom w:w="57" w:type="dxa"/>
              <w:right w:w="57" w:type="dxa"/>
            </w:tcMar>
            <w:vAlign w:val="center"/>
          </w:tcPr>
          <w:p w:rsidR="00992649" w:rsidRPr="005723ED" w:rsidRDefault="00992649" w:rsidP="00992649">
            <w:pPr>
              <w:ind w:left="0"/>
              <w:jc w:val="center"/>
            </w:pPr>
            <w:r w:rsidRPr="005723ED">
              <w:t>4.1</w:t>
            </w:r>
          </w:p>
        </w:tc>
        <w:tc>
          <w:tcPr>
            <w:tcW w:w="854" w:type="dxa"/>
            <w:tcMar>
              <w:top w:w="57" w:type="dxa"/>
              <w:left w:w="57" w:type="dxa"/>
              <w:bottom w:w="57" w:type="dxa"/>
              <w:right w:w="57" w:type="dxa"/>
            </w:tcMar>
            <w:vAlign w:val="center"/>
          </w:tcPr>
          <w:p w:rsidR="00992649" w:rsidRPr="003B0CDA" w:rsidRDefault="00992649" w:rsidP="00992649">
            <w:pPr>
              <w:ind w:left="0"/>
              <w:jc w:val="center"/>
            </w:pPr>
            <w:r w:rsidRPr="003B0CDA">
              <w:t>11.6770</w:t>
            </w:r>
          </w:p>
        </w:tc>
      </w:tr>
      <w:tr w:rsidR="00992649" w:rsidTr="00992649">
        <w:trPr>
          <w:jc w:val="center"/>
        </w:trPr>
        <w:tc>
          <w:tcPr>
            <w:tcW w:w="421" w:type="dxa"/>
            <w:vAlign w:val="center"/>
          </w:tcPr>
          <w:p w:rsidR="00992649" w:rsidRDefault="00992649" w:rsidP="00992649">
            <w:pPr>
              <w:pStyle w:val="IFRS9Text"/>
              <w:spacing w:after="0" w:line="240" w:lineRule="atLeast"/>
              <w:ind w:left="0" w:right="4"/>
              <w:jc w:val="center"/>
              <w:rPr>
                <w:rFonts w:ascii="Arial" w:eastAsiaTheme="minorEastAsia" w:hAnsi="Arial" w:cs="Arial"/>
              </w:rPr>
            </w:pPr>
            <w:r>
              <w:rPr>
                <w:rFonts w:ascii="Arial" w:eastAsiaTheme="minorEastAsia" w:hAnsi="Arial" w:cs="Arial"/>
              </w:rPr>
              <w:t>14</w:t>
            </w:r>
          </w:p>
        </w:tc>
        <w:tc>
          <w:tcPr>
            <w:tcW w:w="1417" w:type="dxa"/>
            <w:tcMar>
              <w:top w:w="57" w:type="dxa"/>
              <w:left w:w="57" w:type="dxa"/>
              <w:bottom w:w="57" w:type="dxa"/>
              <w:right w:w="57" w:type="dxa"/>
            </w:tcMar>
            <w:vAlign w:val="center"/>
          </w:tcPr>
          <w:p w:rsidR="00992649" w:rsidRPr="00EB2724" w:rsidRDefault="00992649" w:rsidP="00992649">
            <w:pPr>
              <w:ind w:left="0"/>
            </w:pPr>
            <w:r w:rsidRPr="00EB2724">
              <w:t>EK048683 Corp</w:t>
            </w:r>
          </w:p>
        </w:tc>
        <w:tc>
          <w:tcPr>
            <w:tcW w:w="2977" w:type="dxa"/>
            <w:tcMar>
              <w:top w:w="57" w:type="dxa"/>
              <w:left w:w="57" w:type="dxa"/>
              <w:bottom w:w="57" w:type="dxa"/>
              <w:right w:w="57" w:type="dxa"/>
            </w:tcMar>
            <w:vAlign w:val="center"/>
          </w:tcPr>
          <w:p w:rsidR="00992649" w:rsidRPr="00A95DB9" w:rsidRDefault="00992649" w:rsidP="00992649">
            <w:pPr>
              <w:ind w:left="0"/>
              <w:jc w:val="left"/>
            </w:pPr>
            <w:r w:rsidRPr="00A95DB9">
              <w:t>URBAN ONE INC</w:t>
            </w:r>
          </w:p>
        </w:tc>
        <w:tc>
          <w:tcPr>
            <w:tcW w:w="1294" w:type="dxa"/>
            <w:tcMar>
              <w:top w:w="57" w:type="dxa"/>
              <w:left w:w="57" w:type="dxa"/>
              <w:bottom w:w="57" w:type="dxa"/>
              <w:right w:w="57" w:type="dxa"/>
            </w:tcMar>
            <w:vAlign w:val="center"/>
          </w:tcPr>
          <w:p w:rsidR="00992649" w:rsidRPr="005F704D" w:rsidRDefault="00992649" w:rsidP="00992649">
            <w:pPr>
              <w:ind w:left="0"/>
            </w:pPr>
            <w:r w:rsidRPr="005F704D">
              <w:t>Media</w:t>
            </w:r>
          </w:p>
        </w:tc>
        <w:tc>
          <w:tcPr>
            <w:tcW w:w="974" w:type="dxa"/>
            <w:tcMar>
              <w:top w:w="57" w:type="dxa"/>
              <w:left w:w="57" w:type="dxa"/>
              <w:bottom w:w="57" w:type="dxa"/>
              <w:right w:w="57" w:type="dxa"/>
            </w:tcMar>
            <w:vAlign w:val="center"/>
          </w:tcPr>
          <w:p w:rsidR="00992649" w:rsidRPr="005723ED" w:rsidRDefault="00992649" w:rsidP="00992649">
            <w:pPr>
              <w:ind w:left="0"/>
              <w:jc w:val="center"/>
            </w:pPr>
            <w:r w:rsidRPr="005723ED">
              <w:t>15-Feb-20</w:t>
            </w:r>
          </w:p>
        </w:tc>
        <w:tc>
          <w:tcPr>
            <w:tcW w:w="1134" w:type="dxa"/>
            <w:tcMar>
              <w:top w:w="57" w:type="dxa"/>
              <w:left w:w="57" w:type="dxa"/>
              <w:bottom w:w="57" w:type="dxa"/>
              <w:right w:w="57" w:type="dxa"/>
            </w:tcMar>
            <w:vAlign w:val="center"/>
          </w:tcPr>
          <w:p w:rsidR="00992649" w:rsidRPr="005723ED" w:rsidRDefault="00992649" w:rsidP="00992649">
            <w:pPr>
              <w:ind w:left="0"/>
              <w:jc w:val="center"/>
            </w:pPr>
            <w:r w:rsidRPr="005723ED">
              <w:t>4.8</w:t>
            </w:r>
          </w:p>
        </w:tc>
        <w:tc>
          <w:tcPr>
            <w:tcW w:w="854" w:type="dxa"/>
            <w:tcMar>
              <w:top w:w="57" w:type="dxa"/>
              <w:left w:w="57" w:type="dxa"/>
              <w:bottom w:w="57" w:type="dxa"/>
              <w:right w:w="57" w:type="dxa"/>
            </w:tcMar>
            <w:vAlign w:val="center"/>
          </w:tcPr>
          <w:p w:rsidR="00992649" w:rsidRPr="003B0CDA" w:rsidRDefault="00992649" w:rsidP="00992649">
            <w:pPr>
              <w:ind w:left="0"/>
              <w:jc w:val="center"/>
            </w:pPr>
            <w:r w:rsidRPr="003B0CDA">
              <w:t>10.7360</w:t>
            </w:r>
          </w:p>
        </w:tc>
      </w:tr>
      <w:tr w:rsidR="00992649" w:rsidTr="00992649">
        <w:trPr>
          <w:jc w:val="center"/>
        </w:trPr>
        <w:tc>
          <w:tcPr>
            <w:tcW w:w="421" w:type="dxa"/>
            <w:vAlign w:val="center"/>
          </w:tcPr>
          <w:p w:rsidR="00992649" w:rsidRDefault="00992649" w:rsidP="00992649">
            <w:pPr>
              <w:pStyle w:val="IFRS9Text"/>
              <w:spacing w:after="0" w:line="240" w:lineRule="atLeast"/>
              <w:ind w:left="0" w:right="4"/>
              <w:jc w:val="center"/>
              <w:rPr>
                <w:rFonts w:ascii="Arial" w:eastAsiaTheme="minorEastAsia" w:hAnsi="Arial" w:cs="Arial"/>
              </w:rPr>
            </w:pPr>
            <w:r>
              <w:rPr>
                <w:rFonts w:ascii="Arial" w:eastAsiaTheme="minorEastAsia" w:hAnsi="Arial" w:cs="Arial"/>
              </w:rPr>
              <w:t>15</w:t>
            </w:r>
          </w:p>
        </w:tc>
        <w:tc>
          <w:tcPr>
            <w:tcW w:w="1417" w:type="dxa"/>
            <w:tcMar>
              <w:top w:w="57" w:type="dxa"/>
              <w:left w:w="57" w:type="dxa"/>
              <w:bottom w:w="57" w:type="dxa"/>
              <w:right w:w="57" w:type="dxa"/>
            </w:tcMar>
            <w:vAlign w:val="center"/>
          </w:tcPr>
          <w:p w:rsidR="00992649" w:rsidRDefault="00992649" w:rsidP="00992649">
            <w:pPr>
              <w:ind w:left="0"/>
            </w:pPr>
            <w:r w:rsidRPr="00EB2724">
              <w:t>EK586550 Corp</w:t>
            </w:r>
          </w:p>
        </w:tc>
        <w:tc>
          <w:tcPr>
            <w:tcW w:w="2977" w:type="dxa"/>
            <w:tcMar>
              <w:top w:w="57" w:type="dxa"/>
              <w:left w:w="57" w:type="dxa"/>
              <w:bottom w:w="57" w:type="dxa"/>
              <w:right w:w="57" w:type="dxa"/>
            </w:tcMar>
            <w:vAlign w:val="center"/>
          </w:tcPr>
          <w:p w:rsidR="00992649" w:rsidRDefault="00992649" w:rsidP="00992649">
            <w:pPr>
              <w:ind w:left="0"/>
              <w:jc w:val="left"/>
            </w:pPr>
            <w:r w:rsidRPr="00A95DB9">
              <w:t>TIBCO SOFTWARE INC</w:t>
            </w:r>
          </w:p>
        </w:tc>
        <w:tc>
          <w:tcPr>
            <w:tcW w:w="1294" w:type="dxa"/>
            <w:tcMar>
              <w:top w:w="57" w:type="dxa"/>
              <w:left w:w="57" w:type="dxa"/>
              <w:bottom w:w="57" w:type="dxa"/>
              <w:right w:w="57" w:type="dxa"/>
            </w:tcMar>
            <w:vAlign w:val="center"/>
          </w:tcPr>
          <w:p w:rsidR="00992649" w:rsidRDefault="00992649" w:rsidP="00992649">
            <w:pPr>
              <w:ind w:left="0"/>
            </w:pPr>
            <w:r w:rsidRPr="005F704D">
              <w:t>Internet</w:t>
            </w:r>
          </w:p>
        </w:tc>
        <w:tc>
          <w:tcPr>
            <w:tcW w:w="974" w:type="dxa"/>
            <w:tcMar>
              <w:top w:w="57" w:type="dxa"/>
              <w:left w:w="57" w:type="dxa"/>
              <w:bottom w:w="57" w:type="dxa"/>
              <w:right w:w="57" w:type="dxa"/>
            </w:tcMar>
            <w:vAlign w:val="center"/>
          </w:tcPr>
          <w:p w:rsidR="00992649" w:rsidRPr="005723ED" w:rsidRDefault="00992649" w:rsidP="00992649">
            <w:pPr>
              <w:ind w:left="0"/>
              <w:jc w:val="center"/>
            </w:pPr>
            <w:r w:rsidRPr="005723ED">
              <w:t>1-Dec-21</w:t>
            </w:r>
          </w:p>
        </w:tc>
        <w:tc>
          <w:tcPr>
            <w:tcW w:w="1134" w:type="dxa"/>
            <w:tcMar>
              <w:top w:w="57" w:type="dxa"/>
              <w:left w:w="57" w:type="dxa"/>
              <w:bottom w:w="57" w:type="dxa"/>
              <w:right w:w="57" w:type="dxa"/>
            </w:tcMar>
            <w:vAlign w:val="center"/>
          </w:tcPr>
          <w:p w:rsidR="00992649" w:rsidRDefault="00992649" w:rsidP="00992649">
            <w:pPr>
              <w:ind w:left="0"/>
              <w:jc w:val="center"/>
            </w:pPr>
            <w:r w:rsidRPr="005723ED">
              <w:t>6.6</w:t>
            </w:r>
          </w:p>
        </w:tc>
        <w:tc>
          <w:tcPr>
            <w:tcW w:w="854" w:type="dxa"/>
            <w:tcMar>
              <w:top w:w="57" w:type="dxa"/>
              <w:left w:w="57" w:type="dxa"/>
              <w:bottom w:w="57" w:type="dxa"/>
              <w:right w:w="57" w:type="dxa"/>
            </w:tcMar>
            <w:vAlign w:val="center"/>
          </w:tcPr>
          <w:p w:rsidR="00992649" w:rsidRDefault="00992649" w:rsidP="00992649">
            <w:pPr>
              <w:ind w:left="0"/>
              <w:jc w:val="center"/>
            </w:pPr>
            <w:r w:rsidRPr="003B0CDA">
              <w:t>10.9900</w:t>
            </w:r>
          </w:p>
        </w:tc>
      </w:tr>
    </w:tbl>
    <w:p w:rsidR="00B6674E" w:rsidRPr="006936DE" w:rsidRDefault="00B6674E" w:rsidP="001B7E3C">
      <w:pPr>
        <w:pStyle w:val="IFRS9Text"/>
        <w:spacing w:line="240" w:lineRule="atLeast"/>
        <w:ind w:left="142" w:right="4"/>
        <w:rPr>
          <w:rFonts w:ascii="Arial" w:eastAsiaTheme="minorEastAsia" w:hAnsi="Arial" w:cs="Arial"/>
        </w:rPr>
      </w:pPr>
    </w:p>
    <w:sectPr w:rsidR="00B6674E" w:rsidRPr="006936DE" w:rsidSect="001B7E3C">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ED7" w:rsidRDefault="00015ED7" w:rsidP="009B7501">
      <w:r>
        <w:separator/>
      </w:r>
    </w:p>
  </w:endnote>
  <w:endnote w:type="continuationSeparator" w:id="0">
    <w:p w:rsidR="00015ED7" w:rsidRDefault="00015ED7" w:rsidP="009B7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ED7" w:rsidRDefault="00015ED7" w:rsidP="009B7501">
      <w:r>
        <w:separator/>
      </w:r>
    </w:p>
  </w:footnote>
  <w:footnote w:type="continuationSeparator" w:id="0">
    <w:p w:rsidR="00015ED7" w:rsidRDefault="00015ED7" w:rsidP="009B7501">
      <w:r>
        <w:continuationSeparator/>
      </w:r>
    </w:p>
  </w:footnote>
  <w:footnote w:id="1">
    <w:p w:rsidR="009B7501" w:rsidRPr="00B222A3" w:rsidRDefault="009B7501">
      <w:pPr>
        <w:pStyle w:val="FootnoteText"/>
        <w:rPr>
          <w:sz w:val="18"/>
          <w:szCs w:val="18"/>
          <w:lang w:val="en-CA"/>
        </w:rPr>
      </w:pPr>
      <w:r>
        <w:rPr>
          <w:rStyle w:val="FootnoteReference"/>
        </w:rPr>
        <w:footnoteRef/>
      </w:r>
      <w:r>
        <w:t xml:space="preserve"> </w:t>
      </w:r>
      <w:r w:rsidRPr="00B222A3">
        <w:rPr>
          <w:sz w:val="18"/>
          <w:szCs w:val="18"/>
        </w:rPr>
        <w:t xml:space="preserve">Bolder D and D Stréliski, </w:t>
      </w:r>
      <w:r w:rsidR="000D0B09">
        <w:rPr>
          <w:sz w:val="18"/>
          <w:szCs w:val="18"/>
        </w:rPr>
        <w:t>“</w:t>
      </w:r>
      <w:r w:rsidRPr="00B222A3">
        <w:rPr>
          <w:sz w:val="18"/>
          <w:szCs w:val="18"/>
        </w:rPr>
        <w:t>Yield Curve Modelling at the Bank of Canada</w:t>
      </w:r>
      <w:r w:rsidR="000D0B09">
        <w:rPr>
          <w:sz w:val="18"/>
          <w:szCs w:val="18"/>
        </w:rPr>
        <w:t>”</w:t>
      </w:r>
      <w:r w:rsidRPr="00B222A3">
        <w:rPr>
          <w:sz w:val="18"/>
          <w:szCs w:val="18"/>
        </w:rPr>
        <w:t>, Technical Report No. 84, Bank of Canada, February 1999.</w:t>
      </w:r>
    </w:p>
  </w:footnote>
  <w:footnote w:id="2">
    <w:p w:rsidR="003418B3" w:rsidRPr="003418B3" w:rsidRDefault="003418B3">
      <w:pPr>
        <w:pStyle w:val="FootnoteText"/>
        <w:rPr>
          <w:lang w:val="en-CA"/>
        </w:rPr>
      </w:pPr>
      <w:r>
        <w:rPr>
          <w:rStyle w:val="FootnoteReference"/>
        </w:rPr>
        <w:footnoteRef/>
      </w:r>
      <w:r>
        <w:t xml:space="preserve"> </w:t>
      </w:r>
      <w:r w:rsidRPr="00B222A3">
        <w:rPr>
          <w:sz w:val="18"/>
          <w:szCs w:val="18"/>
          <w:lang w:val="en-CA"/>
        </w:rPr>
        <w:t xml:space="preserve">Parameter </w:t>
      </w:r>
      <m:oMath>
        <m:sSub>
          <m:sSubPr>
            <m:ctrlPr>
              <w:rPr>
                <w:rFonts w:ascii="Cambria Math" w:hAnsi="Cambria Math"/>
                <w:i/>
                <w:sz w:val="18"/>
                <w:szCs w:val="18"/>
                <w:lang w:val="en-CA"/>
              </w:rPr>
            </m:ctrlPr>
          </m:sSubPr>
          <m:e>
            <m:r>
              <w:rPr>
                <w:rFonts w:ascii="Cambria Math" w:hAnsi="Cambria Math"/>
                <w:sz w:val="18"/>
                <w:szCs w:val="18"/>
                <w:lang w:val="en-CA"/>
              </w:rPr>
              <m:t>f</m:t>
            </m:r>
          </m:e>
          <m:sub>
            <m:r>
              <w:rPr>
                <w:rFonts w:ascii="Cambria Math" w:hAnsi="Cambria Math"/>
                <w:sz w:val="18"/>
                <w:szCs w:val="18"/>
                <w:lang w:val="en-CA"/>
              </w:rPr>
              <m:t>1</m:t>
            </m:r>
          </m:sub>
        </m:sSub>
      </m:oMath>
      <w:r w:rsidRPr="00B222A3">
        <w:rPr>
          <w:sz w:val="18"/>
          <w:szCs w:val="18"/>
          <w:lang w:val="en-CA"/>
        </w:rPr>
        <w:t xml:space="preserve"> can be interpreted as the term structure asymptotic long-term yield rate and parameter </w:t>
      </w:r>
      <m:oMath>
        <m:sSub>
          <m:sSubPr>
            <m:ctrlPr>
              <w:rPr>
                <w:rFonts w:ascii="Cambria Math" w:hAnsi="Cambria Math"/>
                <w:i/>
                <w:sz w:val="18"/>
                <w:szCs w:val="18"/>
                <w:lang w:val="en-CA"/>
              </w:rPr>
            </m:ctrlPr>
          </m:sSubPr>
          <m:e>
            <m:r>
              <w:rPr>
                <w:rFonts w:ascii="Cambria Math" w:hAnsi="Cambria Math"/>
                <w:sz w:val="18"/>
                <w:szCs w:val="18"/>
                <w:lang w:val="en-CA"/>
              </w:rPr>
              <m:t>-f</m:t>
            </m:r>
          </m:e>
          <m:sub>
            <m:r>
              <w:rPr>
                <w:rFonts w:ascii="Cambria Math" w:hAnsi="Cambria Math"/>
                <w:sz w:val="18"/>
                <w:szCs w:val="18"/>
                <w:lang w:val="en-CA"/>
              </w:rPr>
              <m:t>2</m:t>
            </m:r>
          </m:sub>
        </m:sSub>
      </m:oMath>
      <w:r w:rsidRPr="00B222A3">
        <w:rPr>
          <w:sz w:val="18"/>
          <w:szCs w:val="18"/>
          <w:lang w:val="en-CA"/>
        </w:rPr>
        <w:t xml:space="preserve"> can be interpreted as the term premium (defied as the difference between the long-term and the short-term yield rates).</w:t>
      </w:r>
    </w:p>
  </w:footnote>
  <w:footnote w:id="3">
    <w:p w:rsidR="000D0B09" w:rsidRPr="000D0B09" w:rsidRDefault="000D0B09">
      <w:pPr>
        <w:pStyle w:val="FootnoteText"/>
        <w:rPr>
          <w:sz w:val="18"/>
          <w:szCs w:val="18"/>
          <w:lang w:val="en-CA"/>
        </w:rPr>
      </w:pPr>
      <w:r w:rsidRPr="000D0B09">
        <w:rPr>
          <w:rStyle w:val="FootnoteReference"/>
          <w:sz w:val="18"/>
          <w:szCs w:val="18"/>
        </w:rPr>
        <w:footnoteRef/>
      </w:r>
      <w:r w:rsidRPr="000D0B09">
        <w:rPr>
          <w:sz w:val="18"/>
          <w:szCs w:val="18"/>
        </w:rPr>
        <w:t xml:space="preserve"> Jan Annaert, Anouk G.P. Claes, Marc J.K. De Ceuster, Hairui Zhang, “Estimating the Yield Curve Using the Nelson‐Siegel Model: A Ridge Regression Approach”</w:t>
      </w:r>
      <w:r>
        <w:rPr>
          <w:sz w:val="18"/>
          <w:szCs w:val="18"/>
        </w:rPr>
        <w:t xml:space="preserve">, </w:t>
      </w:r>
      <w:r w:rsidRPr="000D0B09">
        <w:rPr>
          <w:sz w:val="18"/>
          <w:szCs w:val="18"/>
        </w:rPr>
        <w:t>Universiteit Antwerpen</w:t>
      </w:r>
      <w:r>
        <w:rPr>
          <w:sz w:val="18"/>
          <w:szCs w:val="18"/>
        </w:rPr>
        <w:t xml:space="preserve">, </w:t>
      </w:r>
      <w:r w:rsidRPr="000D0B09">
        <w:rPr>
          <w:sz w:val="18"/>
          <w:szCs w:val="18"/>
        </w:rPr>
        <w:t>Belgium</w:t>
      </w:r>
      <w:r>
        <w:rPr>
          <w:sz w:val="18"/>
          <w:szCs w:val="18"/>
        </w:rPr>
        <w:t xml:space="preserve">, </w:t>
      </w:r>
      <w:r w:rsidRPr="000D0B09">
        <w:rPr>
          <w:sz w:val="18"/>
          <w:szCs w:val="18"/>
        </w:rPr>
        <w:t>Louvain School of Management</w:t>
      </w:r>
      <w:r>
        <w:rPr>
          <w:sz w:val="18"/>
          <w:szCs w:val="18"/>
        </w:rPr>
        <w:t xml:space="preserve">, </w:t>
      </w:r>
      <w:r w:rsidRPr="000D0B09">
        <w:rPr>
          <w:sz w:val="18"/>
          <w:szCs w:val="18"/>
        </w:rPr>
        <w:t>Belgium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36E75"/>
    <w:multiLevelType w:val="hybridMultilevel"/>
    <w:tmpl w:val="B51440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4DE0388"/>
    <w:multiLevelType w:val="hybridMultilevel"/>
    <w:tmpl w:val="294CC58A"/>
    <w:lvl w:ilvl="0" w:tplc="1009000F">
      <w:start w:val="1"/>
      <w:numFmt w:val="decimal"/>
      <w:lvlText w:val="%1."/>
      <w:lvlJc w:val="left"/>
      <w:pPr>
        <w:ind w:left="862" w:hanging="360"/>
      </w:pPr>
    </w:lvl>
    <w:lvl w:ilvl="1" w:tplc="10090019">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2" w15:restartNumberingAfterBreak="0">
    <w:nsid w:val="71C31AB5"/>
    <w:multiLevelType w:val="hybridMultilevel"/>
    <w:tmpl w:val="A9F46344"/>
    <w:lvl w:ilvl="0" w:tplc="1009000F">
      <w:start w:val="1"/>
      <w:numFmt w:val="decimal"/>
      <w:lvlText w:val="%1."/>
      <w:lvlJc w:val="left"/>
      <w:pPr>
        <w:ind w:left="862" w:hanging="360"/>
      </w:p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A27"/>
    <w:rsid w:val="000036D3"/>
    <w:rsid w:val="00015ED7"/>
    <w:rsid w:val="00037E17"/>
    <w:rsid w:val="0004665E"/>
    <w:rsid w:val="0007576F"/>
    <w:rsid w:val="000D0B09"/>
    <w:rsid w:val="0011781C"/>
    <w:rsid w:val="001B7E3C"/>
    <w:rsid w:val="001F5069"/>
    <w:rsid w:val="002079CF"/>
    <w:rsid w:val="00227AC8"/>
    <w:rsid w:val="002D02CA"/>
    <w:rsid w:val="002D34E6"/>
    <w:rsid w:val="002F439C"/>
    <w:rsid w:val="003057B7"/>
    <w:rsid w:val="00335720"/>
    <w:rsid w:val="003418B3"/>
    <w:rsid w:val="00344D63"/>
    <w:rsid w:val="0035515B"/>
    <w:rsid w:val="0038644F"/>
    <w:rsid w:val="00397519"/>
    <w:rsid w:val="003F4D48"/>
    <w:rsid w:val="00492C5F"/>
    <w:rsid w:val="004E0F42"/>
    <w:rsid w:val="004F0373"/>
    <w:rsid w:val="005474FC"/>
    <w:rsid w:val="00570AAA"/>
    <w:rsid w:val="005A3E00"/>
    <w:rsid w:val="005D5785"/>
    <w:rsid w:val="005E24AE"/>
    <w:rsid w:val="005F0461"/>
    <w:rsid w:val="006748D1"/>
    <w:rsid w:val="006936DE"/>
    <w:rsid w:val="006A51AE"/>
    <w:rsid w:val="00784DEE"/>
    <w:rsid w:val="00787780"/>
    <w:rsid w:val="007C09BC"/>
    <w:rsid w:val="00803FB6"/>
    <w:rsid w:val="00812312"/>
    <w:rsid w:val="0089213D"/>
    <w:rsid w:val="008B0FDD"/>
    <w:rsid w:val="00937672"/>
    <w:rsid w:val="00992649"/>
    <w:rsid w:val="009A66CE"/>
    <w:rsid w:val="009B6806"/>
    <w:rsid w:val="009B7501"/>
    <w:rsid w:val="00A276CB"/>
    <w:rsid w:val="00A53F1A"/>
    <w:rsid w:val="00AA3F0B"/>
    <w:rsid w:val="00AA705C"/>
    <w:rsid w:val="00AD137D"/>
    <w:rsid w:val="00AE2BDA"/>
    <w:rsid w:val="00B222A3"/>
    <w:rsid w:val="00B36293"/>
    <w:rsid w:val="00B45C1B"/>
    <w:rsid w:val="00B61962"/>
    <w:rsid w:val="00B6674E"/>
    <w:rsid w:val="00B710E2"/>
    <w:rsid w:val="00B73746"/>
    <w:rsid w:val="00B80331"/>
    <w:rsid w:val="00B83A29"/>
    <w:rsid w:val="00BC3CAA"/>
    <w:rsid w:val="00C731F0"/>
    <w:rsid w:val="00C952F7"/>
    <w:rsid w:val="00CC5FB7"/>
    <w:rsid w:val="00CD2435"/>
    <w:rsid w:val="00CD2E4B"/>
    <w:rsid w:val="00CE4283"/>
    <w:rsid w:val="00CF7E76"/>
    <w:rsid w:val="00D02BAF"/>
    <w:rsid w:val="00D8660A"/>
    <w:rsid w:val="00D877D3"/>
    <w:rsid w:val="00E12E7E"/>
    <w:rsid w:val="00E30F5C"/>
    <w:rsid w:val="00E46811"/>
    <w:rsid w:val="00E56BDB"/>
    <w:rsid w:val="00E64838"/>
    <w:rsid w:val="00E70D70"/>
    <w:rsid w:val="00EA255B"/>
    <w:rsid w:val="00EA4074"/>
    <w:rsid w:val="00EA738E"/>
    <w:rsid w:val="00ED65A8"/>
    <w:rsid w:val="00F03A27"/>
    <w:rsid w:val="00F11944"/>
    <w:rsid w:val="00F1258A"/>
    <w:rsid w:val="00F140D8"/>
    <w:rsid w:val="00FD09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AB541-560D-4A0A-9718-67259B33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C1B"/>
    <w:pPr>
      <w:overflowPunct w:val="0"/>
      <w:autoSpaceDE w:val="0"/>
      <w:autoSpaceDN w:val="0"/>
      <w:adjustRightInd w:val="0"/>
      <w:spacing w:after="0" w:line="240" w:lineRule="auto"/>
      <w:ind w:left="153"/>
      <w:jc w:val="both"/>
      <w:textAlignment w:val="baseline"/>
    </w:pPr>
    <w:rPr>
      <w:rFonts w:eastAsiaTheme="minorEastAsia" w:cs="Times New Roman"/>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FRS9Text">
    <w:name w:val="IFRS9 Text"/>
    <w:basedOn w:val="Normal"/>
    <w:rsid w:val="00B45C1B"/>
    <w:pPr>
      <w:spacing w:after="120"/>
      <w:ind w:left="720"/>
    </w:pPr>
    <w:rPr>
      <w:rFonts w:eastAsia="Times New Roman"/>
    </w:rPr>
  </w:style>
  <w:style w:type="table" w:styleId="TableGrid">
    <w:name w:val="Table Grid"/>
    <w:basedOn w:val="TableNormal"/>
    <w:uiPriority w:val="39"/>
    <w:rsid w:val="00B45C1B"/>
    <w:pPr>
      <w:overflowPunct w:val="0"/>
      <w:autoSpaceDE w:val="0"/>
      <w:autoSpaceDN w:val="0"/>
      <w:adjustRightInd w:val="0"/>
      <w:spacing w:after="0" w:line="240" w:lineRule="auto"/>
      <w:textAlignment w:val="baseline"/>
    </w:pPr>
    <w:rPr>
      <w:rFonts w:ascii="Times New Roman" w:eastAsiaTheme="minorEastAsia" w:hAnsi="Times New Roman" w:cs="Times New Roman"/>
      <w:sz w:val="20"/>
      <w:szCs w:val="20"/>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B7501"/>
    <w:rPr>
      <w:sz w:val="20"/>
    </w:rPr>
  </w:style>
  <w:style w:type="character" w:customStyle="1" w:styleId="FootnoteTextChar">
    <w:name w:val="Footnote Text Char"/>
    <w:basedOn w:val="DefaultParagraphFont"/>
    <w:link w:val="FootnoteText"/>
    <w:uiPriority w:val="99"/>
    <w:semiHidden/>
    <w:rsid w:val="009B7501"/>
    <w:rPr>
      <w:rFonts w:eastAsiaTheme="minorEastAsia" w:cs="Times New Roman"/>
      <w:sz w:val="20"/>
      <w:szCs w:val="20"/>
      <w:lang w:val="en-US"/>
    </w:rPr>
  </w:style>
  <w:style w:type="character" w:styleId="FootnoteReference">
    <w:name w:val="footnote reference"/>
    <w:basedOn w:val="DefaultParagraphFont"/>
    <w:uiPriority w:val="99"/>
    <w:semiHidden/>
    <w:unhideWhenUsed/>
    <w:rsid w:val="009B7501"/>
    <w:rPr>
      <w:vertAlign w:val="superscript"/>
    </w:rPr>
  </w:style>
  <w:style w:type="character" w:styleId="PlaceholderText">
    <w:name w:val="Placeholder Text"/>
    <w:basedOn w:val="DefaultParagraphFont"/>
    <w:uiPriority w:val="99"/>
    <w:semiHidden/>
    <w:rsid w:val="00E56B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Projects\ey\projects\IRB\Armtec%20-%20Nov%202017\20171125_Term%20Structure_CCC.xlsm"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Projects\ey\projects\IRB\Armtec%20-%20Nov%202017\20171125_Term%20Structure_CCC.xlsm"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Projects\ey\projects\IRB\Armtec%20-%20Nov%202017\20171125_Term%20Structure_CCC.xlsm"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513302577265948"/>
          <c:y val="0.20288704998462628"/>
          <c:w val="0.74351243539491485"/>
          <c:h val="0.5445947355052605"/>
        </c:manualLayout>
      </c:layout>
      <c:lineChart>
        <c:grouping val="standard"/>
        <c:varyColors val="0"/>
        <c:ser>
          <c:idx val="1"/>
          <c:order val="0"/>
          <c:tx>
            <c:strRef>
              <c:f>'term structure'!$S$4</c:f>
              <c:strCache>
                <c:ptCount val="1"/>
                <c:pt idx="0">
                  <c:v>Term structure of CCC rated yield rates</c:v>
                </c:pt>
              </c:strCache>
            </c:strRef>
          </c:tx>
          <c:spPr>
            <a:ln w="19050" cap="rnd">
              <a:solidFill>
                <a:schemeClr val="tx1"/>
              </a:solidFill>
              <a:round/>
            </a:ln>
            <a:effectLst/>
          </c:spPr>
          <c:marker>
            <c:symbol val="none"/>
          </c:marker>
          <c:cat>
            <c:numRef>
              <c:f>'term structure'!$B$9:$B$24</c:f>
              <c:numCache>
                <c:formatCode>General</c:formatCode>
                <c:ptCount val="16"/>
                <c:pt idx="0">
                  <c:v>0.01</c:v>
                </c:pt>
                <c:pt idx="1">
                  <c:v>1</c:v>
                </c:pt>
                <c:pt idx="2" formatCode="0.0">
                  <c:v>2</c:v>
                </c:pt>
                <c:pt idx="3" formatCode="0.0">
                  <c:v>3</c:v>
                </c:pt>
                <c:pt idx="4" formatCode="0.0">
                  <c:v>4</c:v>
                </c:pt>
                <c:pt idx="5" formatCode="0.0">
                  <c:v>5</c:v>
                </c:pt>
                <c:pt idx="6" formatCode="0.0">
                  <c:v>6</c:v>
                </c:pt>
                <c:pt idx="7" formatCode="0.0">
                  <c:v>7</c:v>
                </c:pt>
                <c:pt idx="8" formatCode="0.0">
                  <c:v>8</c:v>
                </c:pt>
                <c:pt idx="9" formatCode="0.0">
                  <c:v>9</c:v>
                </c:pt>
                <c:pt idx="10" formatCode="0.0">
                  <c:v>10</c:v>
                </c:pt>
                <c:pt idx="11" formatCode="0.0">
                  <c:v>11</c:v>
                </c:pt>
                <c:pt idx="12" formatCode="0.0">
                  <c:v>12</c:v>
                </c:pt>
                <c:pt idx="13" formatCode="0.0">
                  <c:v>13</c:v>
                </c:pt>
                <c:pt idx="14" formatCode="0.0">
                  <c:v>14</c:v>
                </c:pt>
                <c:pt idx="15" formatCode="0.0">
                  <c:v>15</c:v>
                </c:pt>
              </c:numCache>
            </c:numRef>
          </c:cat>
          <c:val>
            <c:numRef>
              <c:f>'term structure'!$F$9:$F$24</c:f>
              <c:numCache>
                <c:formatCode>0.00</c:formatCode>
                <c:ptCount val="16"/>
                <c:pt idx="0">
                  <c:v>0.8173314204604879</c:v>
                </c:pt>
                <c:pt idx="1">
                  <c:v>3.5377097181696637</c:v>
                </c:pt>
                <c:pt idx="2">
                  <c:v>5.7129367324753497</c:v>
                </c:pt>
                <c:pt idx="3">
                  <c:v>7.4455501734470184</c:v>
                </c:pt>
                <c:pt idx="4">
                  <c:v>8.8363560381573105</c:v>
                </c:pt>
                <c:pt idx="5">
                  <c:v>9.9617793683419027</c:v>
                </c:pt>
                <c:pt idx="6">
                  <c:v>10.879982835974344</c:v>
                </c:pt>
                <c:pt idx="7">
                  <c:v>11.635411395685418</c:v>
                </c:pt>
                <c:pt idx="8">
                  <c:v>12.262175043468801</c:v>
                </c:pt>
                <c:pt idx="9">
                  <c:v>12.786572443755803</c:v>
                </c:pt>
                <c:pt idx="10">
                  <c:v>13.228978180282752</c:v>
                </c:pt>
                <c:pt idx="11">
                  <c:v>13.605257748560939</c:v>
                </c:pt>
                <c:pt idx="12">
                  <c:v>13.927831383941561</c:v>
                </c:pt>
                <c:pt idx="13">
                  <c:v>14.206476214381453</c:v>
                </c:pt>
                <c:pt idx="14">
                  <c:v>14.448932981230678</c:v>
                </c:pt>
                <c:pt idx="15">
                  <c:v>14.661366451002786</c:v>
                </c:pt>
              </c:numCache>
            </c:numRef>
          </c:val>
          <c:smooth val="0"/>
        </c:ser>
        <c:dLbls>
          <c:showLegendKey val="0"/>
          <c:showVal val="0"/>
          <c:showCatName val="0"/>
          <c:showSerName val="0"/>
          <c:showPercent val="0"/>
          <c:showBubbleSize val="0"/>
        </c:dLbls>
        <c:smooth val="0"/>
        <c:axId val="410576680"/>
        <c:axId val="410577072"/>
      </c:lineChart>
      <c:catAx>
        <c:axId val="41057668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sz="900" b="1"/>
                  <a:t>maturity</a:t>
                </a:r>
              </a:p>
            </c:rich>
          </c:tx>
          <c:layout>
            <c:manualLayout>
              <c:xMode val="edge"/>
              <c:yMode val="edge"/>
              <c:x val="0.44693057072245529"/>
              <c:y val="0.8642781706616045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0577072"/>
        <c:crosses val="autoZero"/>
        <c:auto val="1"/>
        <c:lblAlgn val="ctr"/>
        <c:lblOffset val="100"/>
        <c:tickLblSkip val="2"/>
        <c:tickMarkSkip val="5"/>
        <c:noMultiLvlLbl val="0"/>
      </c:catAx>
      <c:valAx>
        <c:axId val="4105770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sz="900"/>
                  <a:t>yield rate</a:t>
                </a:r>
              </a:p>
            </c:rich>
          </c:tx>
          <c:layout>
            <c:manualLayout>
              <c:xMode val="edge"/>
              <c:yMode val="edge"/>
              <c:x val="2.1142252592875228E-2"/>
              <c:y val="0.3448107696215392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05766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04794068987823"/>
          <c:y val="0.20288704998462628"/>
          <c:w val="0.81919692502892116"/>
          <c:h val="0.53780356402818064"/>
        </c:manualLayout>
      </c:layout>
      <c:lineChart>
        <c:grouping val="standard"/>
        <c:varyColors val="0"/>
        <c:ser>
          <c:idx val="0"/>
          <c:order val="0"/>
          <c:tx>
            <c:strRef>
              <c:f>calc!$AD$2</c:f>
              <c:strCache>
                <c:ptCount val="1"/>
                <c:pt idx="0">
                  <c:v>yields eliminated</c:v>
                </c:pt>
              </c:strCache>
            </c:strRef>
          </c:tx>
          <c:spPr>
            <a:ln w="28575" cap="rnd">
              <a:noFill/>
              <a:round/>
            </a:ln>
            <a:effectLst/>
          </c:spPr>
          <c:marker>
            <c:symbol val="triangle"/>
            <c:size val="5"/>
            <c:spPr>
              <a:solidFill>
                <a:srgbClr val="00B0F0"/>
              </a:solidFill>
              <a:ln w="9525">
                <a:solidFill>
                  <a:srgbClr val="00B0F0"/>
                </a:solidFill>
              </a:ln>
              <a:effectLst/>
            </c:spPr>
          </c:marker>
          <c:cat>
            <c:numRef>
              <c:f>calc!$C$12:$C$39</c:f>
              <c:numCache>
                <c:formatCode>0.00</c:formatCode>
                <c:ptCount val="28"/>
                <c:pt idx="0">
                  <c:v>1.1526351813826146</c:v>
                </c:pt>
                <c:pt idx="1">
                  <c:v>1.9849418206707734</c:v>
                </c:pt>
                <c:pt idx="2">
                  <c:v>2.1957563312799451</c:v>
                </c:pt>
                <c:pt idx="3">
                  <c:v>2.1957563312799451</c:v>
                </c:pt>
                <c:pt idx="4">
                  <c:v>2.3655030800821355</c:v>
                </c:pt>
                <c:pt idx="5">
                  <c:v>2.4859685147159478</c:v>
                </c:pt>
                <c:pt idx="6">
                  <c:v>2.945927446954141</c:v>
                </c:pt>
                <c:pt idx="7">
                  <c:v>3.3182751540041067</c:v>
                </c:pt>
                <c:pt idx="8">
                  <c:v>3.5318275154004106</c:v>
                </c:pt>
                <c:pt idx="9">
                  <c:v>3.8986995208761122</c:v>
                </c:pt>
                <c:pt idx="10">
                  <c:v>4.0273785078713207</c:v>
                </c:pt>
                <c:pt idx="11">
                  <c:v>4.0657084188911705</c:v>
                </c:pt>
                <c:pt idx="12">
                  <c:v>4.1122518822724166</c:v>
                </c:pt>
                <c:pt idx="13">
                  <c:v>4.1505817932922655</c:v>
                </c:pt>
                <c:pt idx="14">
                  <c:v>4.8213552361396301</c:v>
                </c:pt>
                <c:pt idx="15">
                  <c:v>4.9856262833675569</c:v>
                </c:pt>
                <c:pt idx="16">
                  <c:v>5.2347707049965777</c:v>
                </c:pt>
                <c:pt idx="17">
                  <c:v>5.2813141683778237</c:v>
                </c:pt>
                <c:pt idx="18">
                  <c:v>5.4866529774127306</c:v>
                </c:pt>
                <c:pt idx="19">
                  <c:v>5.8234086242299794</c:v>
                </c:pt>
                <c:pt idx="20">
                  <c:v>5.9000684462696782</c:v>
                </c:pt>
                <c:pt idx="21">
                  <c:v>5.9000684462696782</c:v>
                </c:pt>
                <c:pt idx="22">
                  <c:v>6.3189596167008899</c:v>
                </c:pt>
                <c:pt idx="23">
                  <c:v>6.4038329911019849</c:v>
                </c:pt>
                <c:pt idx="24">
                  <c:v>6.6146475017111568</c:v>
                </c:pt>
                <c:pt idx="25">
                  <c:v>7.783709787816564</c:v>
                </c:pt>
                <c:pt idx="26">
                  <c:v>12.531143052703628</c:v>
                </c:pt>
                <c:pt idx="27">
                  <c:v>13.900068446269678</c:v>
                </c:pt>
              </c:numCache>
            </c:numRef>
          </c:cat>
          <c:val>
            <c:numRef>
              <c:f>calc!$D$12:$D$39</c:f>
              <c:numCache>
                <c:formatCode>0.00</c:formatCode>
                <c:ptCount val="28"/>
                <c:pt idx="0">
                  <c:v>2.8</c:v>
                </c:pt>
                <c:pt idx="1">
                  <c:v>15.119</c:v>
                </c:pt>
                <c:pt idx="2">
                  <c:v>18.640999999999998</c:v>
                </c:pt>
                <c:pt idx="3">
                  <c:v>17.975999999999999</c:v>
                </c:pt>
                <c:pt idx="4">
                  <c:v>7.6680000000000001</c:v>
                </c:pt>
                <c:pt idx="5">
                  <c:v>7.47</c:v>
                </c:pt>
                <c:pt idx="6">
                  <c:v>47.935000000000002</c:v>
                </c:pt>
                <c:pt idx="7">
                  <c:v>12.670999999999999</c:v>
                </c:pt>
                <c:pt idx="8">
                  <c:v>20.523</c:v>
                </c:pt>
                <c:pt idx="9">
                  <c:v>13.61</c:v>
                </c:pt>
                <c:pt idx="10">
                  <c:v>11.157</c:v>
                </c:pt>
                <c:pt idx="11">
                  <c:v>6.1109999999999998</c:v>
                </c:pt>
                <c:pt idx="12">
                  <c:v>11.677</c:v>
                </c:pt>
                <c:pt idx="13">
                  <c:v>5.9539999999999997</c:v>
                </c:pt>
                <c:pt idx="14">
                  <c:v>10.736000000000001</c:v>
                </c:pt>
                <c:pt idx="15">
                  <c:v>16.954000000000001</c:v>
                </c:pt>
                <c:pt idx="16">
                  <c:v>18.914999999999999</c:v>
                </c:pt>
                <c:pt idx="17">
                  <c:v>18.858000000000001</c:v>
                </c:pt>
                <c:pt idx="18">
                  <c:v>19.09</c:v>
                </c:pt>
                <c:pt idx="19">
                  <c:v>11.228</c:v>
                </c:pt>
                <c:pt idx="20">
                  <c:v>10.022</c:v>
                </c:pt>
                <c:pt idx="21">
                  <c:v>22.21</c:v>
                </c:pt>
                <c:pt idx="22">
                  <c:v>11.356</c:v>
                </c:pt>
                <c:pt idx="23">
                  <c:v>9.9730000000000008</c:v>
                </c:pt>
                <c:pt idx="24">
                  <c:v>10.99</c:v>
                </c:pt>
                <c:pt idx="25">
                  <c:v>7.5049999999999999</c:v>
                </c:pt>
                <c:pt idx="26">
                  <c:v>14.295999999999999</c:v>
                </c:pt>
                <c:pt idx="27">
                  <c:v>14.756</c:v>
                </c:pt>
              </c:numCache>
            </c:numRef>
          </c:val>
          <c:smooth val="0"/>
        </c:ser>
        <c:ser>
          <c:idx val="1"/>
          <c:order val="1"/>
          <c:tx>
            <c:strRef>
              <c:f>calc!$AD$3</c:f>
              <c:strCache>
                <c:ptCount val="1"/>
                <c:pt idx="0">
                  <c:v>yields fitted</c:v>
                </c:pt>
              </c:strCache>
            </c:strRef>
          </c:tx>
          <c:spPr>
            <a:ln w="25400" cap="rnd">
              <a:solidFill>
                <a:srgbClr val="FF0000"/>
              </a:solidFill>
              <a:round/>
            </a:ln>
            <a:effectLst/>
          </c:spPr>
          <c:marker>
            <c:symbol val="none"/>
          </c:marker>
          <c:cat>
            <c:numRef>
              <c:f>calc!$C$12:$C$39</c:f>
              <c:numCache>
                <c:formatCode>0.00</c:formatCode>
                <c:ptCount val="28"/>
                <c:pt idx="0">
                  <c:v>1.1526351813826146</c:v>
                </c:pt>
                <c:pt idx="1">
                  <c:v>1.9849418206707734</c:v>
                </c:pt>
                <c:pt idx="2">
                  <c:v>2.1957563312799451</c:v>
                </c:pt>
                <c:pt idx="3">
                  <c:v>2.1957563312799451</c:v>
                </c:pt>
                <c:pt idx="4">
                  <c:v>2.3655030800821355</c:v>
                </c:pt>
                <c:pt idx="5">
                  <c:v>2.4859685147159478</c:v>
                </c:pt>
                <c:pt idx="6">
                  <c:v>2.945927446954141</c:v>
                </c:pt>
                <c:pt idx="7">
                  <c:v>3.3182751540041067</c:v>
                </c:pt>
                <c:pt idx="8">
                  <c:v>3.5318275154004106</c:v>
                </c:pt>
                <c:pt idx="9">
                  <c:v>3.8986995208761122</c:v>
                </c:pt>
                <c:pt idx="10">
                  <c:v>4.0273785078713207</c:v>
                </c:pt>
                <c:pt idx="11">
                  <c:v>4.0657084188911705</c:v>
                </c:pt>
                <c:pt idx="12">
                  <c:v>4.1122518822724166</c:v>
                </c:pt>
                <c:pt idx="13">
                  <c:v>4.1505817932922655</c:v>
                </c:pt>
                <c:pt idx="14">
                  <c:v>4.8213552361396301</c:v>
                </c:pt>
                <c:pt idx="15">
                  <c:v>4.9856262833675569</c:v>
                </c:pt>
                <c:pt idx="16">
                  <c:v>5.2347707049965777</c:v>
                </c:pt>
                <c:pt idx="17">
                  <c:v>5.2813141683778237</c:v>
                </c:pt>
                <c:pt idx="18">
                  <c:v>5.4866529774127306</c:v>
                </c:pt>
                <c:pt idx="19">
                  <c:v>5.8234086242299794</c:v>
                </c:pt>
                <c:pt idx="20">
                  <c:v>5.9000684462696782</c:v>
                </c:pt>
                <c:pt idx="21">
                  <c:v>5.9000684462696782</c:v>
                </c:pt>
                <c:pt idx="22">
                  <c:v>6.3189596167008899</c:v>
                </c:pt>
                <c:pt idx="23">
                  <c:v>6.4038329911019849</c:v>
                </c:pt>
                <c:pt idx="24">
                  <c:v>6.6146475017111568</c:v>
                </c:pt>
                <c:pt idx="25">
                  <c:v>7.783709787816564</c:v>
                </c:pt>
                <c:pt idx="26">
                  <c:v>12.531143052703628</c:v>
                </c:pt>
                <c:pt idx="27">
                  <c:v>13.900068446269678</c:v>
                </c:pt>
              </c:numCache>
            </c:numRef>
          </c:cat>
          <c:val>
            <c:numRef>
              <c:f>calc!$G$12:$G$39</c:f>
              <c:numCache>
                <c:formatCode>0.00</c:formatCode>
                <c:ptCount val="28"/>
                <c:pt idx="0">
                  <c:v>3.9032237163455896</c:v>
                </c:pt>
                <c:pt idx="1">
                  <c:v>5.6837534781710293</c:v>
                </c:pt>
                <c:pt idx="2">
                  <c:v>6.0833822196342151</c:v>
                </c:pt>
                <c:pt idx="3">
                  <c:v>6.0833822196342151</c:v>
                </c:pt>
                <c:pt idx="4">
                  <c:v>6.3916067181238754</c:v>
                </c:pt>
                <c:pt idx="5">
                  <c:v>6.6033228418161931</c:v>
                </c:pt>
                <c:pt idx="6">
                  <c:v>7.3613913981415564</c:v>
                </c:pt>
                <c:pt idx="7">
                  <c:v>7.9212235960010862</c:v>
                </c:pt>
                <c:pt idx="8">
                  <c:v>8.2224259219690179</c:v>
                </c:pt>
                <c:pt idx="9">
                  <c:v>8.7086614765022095</c:v>
                </c:pt>
                <c:pt idx="10">
                  <c:v>8.8704003696967408</c:v>
                </c:pt>
                <c:pt idx="11">
                  <c:v>8.9177326982717808</c:v>
                </c:pt>
                <c:pt idx="12">
                  <c:v>8.9746953032722754</c:v>
                </c:pt>
                <c:pt idx="13">
                  <c:v>9.0211880383725678</c:v>
                </c:pt>
                <c:pt idx="14">
                  <c:v>9.7774051532103528</c:v>
                </c:pt>
                <c:pt idx="15">
                  <c:v>9.9471918389619365</c:v>
                </c:pt>
                <c:pt idx="16">
                  <c:v>10.194121530447251</c:v>
                </c:pt>
                <c:pt idx="17">
                  <c:v>10.238889570731265</c:v>
                </c:pt>
                <c:pt idx="18">
                  <c:v>10.431481692721707</c:v>
                </c:pt>
                <c:pt idx="19">
                  <c:v>10.730786747267659</c:v>
                </c:pt>
                <c:pt idx="20">
                  <c:v>10.796188071937024</c:v>
                </c:pt>
                <c:pt idx="21">
                  <c:v>10.796188071937024</c:v>
                </c:pt>
                <c:pt idx="22">
                  <c:v>11.136803725890688</c:v>
                </c:pt>
                <c:pt idx="23">
                  <c:v>11.202521011752596</c:v>
                </c:pt>
                <c:pt idx="24">
                  <c:v>11.361212381166682</c:v>
                </c:pt>
                <c:pt idx="25">
                  <c:v>12.136089962197287</c:v>
                </c:pt>
                <c:pt idx="26">
                  <c:v>14.080768049594653</c:v>
                </c:pt>
                <c:pt idx="27">
                  <c:v>14.426145173279943</c:v>
                </c:pt>
              </c:numCache>
            </c:numRef>
          </c:val>
          <c:smooth val="0"/>
        </c:ser>
        <c:ser>
          <c:idx val="2"/>
          <c:order val="2"/>
          <c:tx>
            <c:strRef>
              <c:f>calc!$AD$4</c:f>
              <c:strCache>
                <c:ptCount val="1"/>
                <c:pt idx="0">
                  <c:v>yields actual</c:v>
                </c:pt>
              </c:strCache>
            </c:strRef>
          </c:tx>
          <c:spPr>
            <a:ln w="25400" cap="rnd">
              <a:noFill/>
              <a:round/>
            </a:ln>
            <a:effectLst/>
          </c:spPr>
          <c:marker>
            <c:symbol val="circle"/>
            <c:size val="5"/>
            <c:spPr>
              <a:solidFill>
                <a:schemeClr val="tx1"/>
              </a:solidFill>
              <a:ln w="9525">
                <a:solidFill>
                  <a:schemeClr val="tx1"/>
                </a:solidFill>
              </a:ln>
              <a:effectLst/>
            </c:spPr>
          </c:marker>
          <c:cat>
            <c:numRef>
              <c:f>calc!$C$12:$C$39</c:f>
              <c:numCache>
                <c:formatCode>0.00</c:formatCode>
                <c:ptCount val="28"/>
                <c:pt idx="0">
                  <c:v>1.1526351813826146</c:v>
                </c:pt>
                <c:pt idx="1">
                  <c:v>1.9849418206707734</c:v>
                </c:pt>
                <c:pt idx="2">
                  <c:v>2.1957563312799451</c:v>
                </c:pt>
                <c:pt idx="3">
                  <c:v>2.1957563312799451</c:v>
                </c:pt>
                <c:pt idx="4">
                  <c:v>2.3655030800821355</c:v>
                </c:pt>
                <c:pt idx="5">
                  <c:v>2.4859685147159478</c:v>
                </c:pt>
                <c:pt idx="6">
                  <c:v>2.945927446954141</c:v>
                </c:pt>
                <c:pt idx="7">
                  <c:v>3.3182751540041067</c:v>
                </c:pt>
                <c:pt idx="8">
                  <c:v>3.5318275154004106</c:v>
                </c:pt>
                <c:pt idx="9">
                  <c:v>3.8986995208761122</c:v>
                </c:pt>
                <c:pt idx="10">
                  <c:v>4.0273785078713207</c:v>
                </c:pt>
                <c:pt idx="11">
                  <c:v>4.0657084188911705</c:v>
                </c:pt>
                <c:pt idx="12">
                  <c:v>4.1122518822724166</c:v>
                </c:pt>
                <c:pt idx="13">
                  <c:v>4.1505817932922655</c:v>
                </c:pt>
                <c:pt idx="14">
                  <c:v>4.8213552361396301</c:v>
                </c:pt>
                <c:pt idx="15">
                  <c:v>4.9856262833675569</c:v>
                </c:pt>
                <c:pt idx="16">
                  <c:v>5.2347707049965777</c:v>
                </c:pt>
                <c:pt idx="17">
                  <c:v>5.2813141683778237</c:v>
                </c:pt>
                <c:pt idx="18">
                  <c:v>5.4866529774127306</c:v>
                </c:pt>
                <c:pt idx="19">
                  <c:v>5.8234086242299794</c:v>
                </c:pt>
                <c:pt idx="20">
                  <c:v>5.9000684462696782</c:v>
                </c:pt>
                <c:pt idx="21">
                  <c:v>5.9000684462696782</c:v>
                </c:pt>
                <c:pt idx="22">
                  <c:v>6.3189596167008899</c:v>
                </c:pt>
                <c:pt idx="23">
                  <c:v>6.4038329911019849</c:v>
                </c:pt>
                <c:pt idx="24">
                  <c:v>6.6146475017111568</c:v>
                </c:pt>
                <c:pt idx="25">
                  <c:v>7.783709787816564</c:v>
                </c:pt>
                <c:pt idx="26">
                  <c:v>12.531143052703628</c:v>
                </c:pt>
                <c:pt idx="27">
                  <c:v>13.900068446269678</c:v>
                </c:pt>
              </c:numCache>
            </c:numRef>
          </c:cat>
          <c:val>
            <c:numRef>
              <c:f>calc!$F$12:$F$39</c:f>
              <c:numCache>
                <c:formatCode>0.00</c:formatCode>
                <c:ptCount val="28"/>
                <c:pt idx="0">
                  <c:v>2.8</c:v>
                </c:pt>
                <c:pt idx="1">
                  <c:v>-1</c:v>
                </c:pt>
                <c:pt idx="2">
                  <c:v>-1</c:v>
                </c:pt>
                <c:pt idx="3">
                  <c:v>-1</c:v>
                </c:pt>
                <c:pt idx="4">
                  <c:v>7.6680000000000001</c:v>
                </c:pt>
                <c:pt idx="5">
                  <c:v>7.47</c:v>
                </c:pt>
                <c:pt idx="6">
                  <c:v>-1</c:v>
                </c:pt>
                <c:pt idx="7">
                  <c:v>-1</c:v>
                </c:pt>
                <c:pt idx="8">
                  <c:v>-1</c:v>
                </c:pt>
                <c:pt idx="9">
                  <c:v>-1</c:v>
                </c:pt>
                <c:pt idx="10">
                  <c:v>11.157</c:v>
                </c:pt>
                <c:pt idx="11">
                  <c:v>6.1109999999999998</c:v>
                </c:pt>
                <c:pt idx="12">
                  <c:v>11.677</c:v>
                </c:pt>
                <c:pt idx="13">
                  <c:v>5.9539999999999997</c:v>
                </c:pt>
                <c:pt idx="14">
                  <c:v>10.736000000000001</c:v>
                </c:pt>
                <c:pt idx="15">
                  <c:v>-1</c:v>
                </c:pt>
                <c:pt idx="16">
                  <c:v>-1</c:v>
                </c:pt>
                <c:pt idx="17">
                  <c:v>-1</c:v>
                </c:pt>
                <c:pt idx="18">
                  <c:v>-1</c:v>
                </c:pt>
                <c:pt idx="19">
                  <c:v>11.228</c:v>
                </c:pt>
                <c:pt idx="20">
                  <c:v>10.022</c:v>
                </c:pt>
                <c:pt idx="21">
                  <c:v>-1</c:v>
                </c:pt>
                <c:pt idx="22">
                  <c:v>11.356</c:v>
                </c:pt>
                <c:pt idx="23">
                  <c:v>9.9730000000000008</c:v>
                </c:pt>
                <c:pt idx="24">
                  <c:v>10.99</c:v>
                </c:pt>
                <c:pt idx="25">
                  <c:v>-1</c:v>
                </c:pt>
                <c:pt idx="26">
                  <c:v>14.295999999999999</c:v>
                </c:pt>
                <c:pt idx="27">
                  <c:v>14.756</c:v>
                </c:pt>
              </c:numCache>
            </c:numRef>
          </c:val>
          <c:smooth val="0"/>
        </c:ser>
        <c:dLbls>
          <c:showLegendKey val="0"/>
          <c:showVal val="0"/>
          <c:showCatName val="0"/>
          <c:showSerName val="0"/>
          <c:showPercent val="0"/>
          <c:showBubbleSize val="0"/>
        </c:dLbls>
        <c:marker val="1"/>
        <c:smooth val="0"/>
        <c:axId val="410572760"/>
        <c:axId val="410573152"/>
      </c:lineChart>
      <c:catAx>
        <c:axId val="4105727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sz="900" b="1"/>
                  <a:t>maturity</a:t>
                </a:r>
              </a:p>
            </c:rich>
          </c:tx>
          <c:layout>
            <c:manualLayout>
              <c:xMode val="edge"/>
              <c:yMode val="edge"/>
              <c:x val="0.46323717829110223"/>
              <c:y val="0.8642781706616045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0573152"/>
        <c:crosses val="autoZero"/>
        <c:auto val="1"/>
        <c:lblAlgn val="ctr"/>
        <c:lblOffset val="100"/>
        <c:tickLblSkip val="2"/>
        <c:tickMarkSkip val="1"/>
        <c:noMultiLvlLbl val="0"/>
      </c:catAx>
      <c:valAx>
        <c:axId val="410573152"/>
        <c:scaling>
          <c:orientation val="minMax"/>
          <c:max val="2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sz="900" b="1"/>
                  <a:t>yield</a:t>
                </a:r>
                <a:r>
                  <a:rPr lang="en-CA" sz="900" b="1" baseline="0"/>
                  <a:t> rate</a:t>
                </a:r>
                <a:endParaRPr lang="en-CA" sz="900" b="1"/>
              </a:p>
            </c:rich>
          </c:tx>
          <c:layout>
            <c:manualLayout>
              <c:xMode val="edge"/>
              <c:yMode val="edge"/>
              <c:x val="8.1120352047382473E-3"/>
              <c:y val="0.3217466406442784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0572760"/>
        <c:crosses val="autoZero"/>
        <c:crossBetween val="between"/>
      </c:valAx>
      <c:spPr>
        <a:noFill/>
        <a:ln>
          <a:noFill/>
        </a:ln>
        <a:effectLst/>
      </c:spPr>
    </c:plotArea>
    <c:legend>
      <c:legendPos val="t"/>
      <c:layout>
        <c:manualLayout>
          <c:xMode val="edge"/>
          <c:yMode val="edge"/>
          <c:x val="0.12565080451900035"/>
          <c:y val="2.2792022792022793E-2"/>
          <c:w val="0.84435056487504279"/>
          <c:h val="0.1552720012562532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58617672790901"/>
          <c:y val="0.15014032463819121"/>
          <c:w val="0.83585826771653549"/>
          <c:h val="0.70469185765187159"/>
        </c:manualLayout>
      </c:layout>
      <c:lineChart>
        <c:grouping val="standard"/>
        <c:varyColors val="0"/>
        <c:ser>
          <c:idx val="0"/>
          <c:order val="0"/>
          <c:tx>
            <c:strRef>
              <c:f>calc!$Q$18</c:f>
              <c:strCache>
                <c:ptCount val="1"/>
                <c:pt idx="0">
                  <c:v>Eliminated observations</c:v>
                </c:pt>
              </c:strCache>
            </c:strRef>
          </c:tx>
          <c:spPr>
            <a:ln w="19050" cap="rnd">
              <a:solidFill>
                <a:schemeClr val="tx1"/>
              </a:solidFill>
              <a:round/>
            </a:ln>
            <a:effectLst/>
          </c:spPr>
          <c:marker>
            <c:symbol val="circle"/>
            <c:size val="5"/>
            <c:spPr>
              <a:solidFill>
                <a:schemeClr val="tx1"/>
              </a:solidFill>
              <a:ln w="9525">
                <a:solidFill>
                  <a:schemeClr val="tx1"/>
                </a:solidFill>
              </a:ln>
              <a:effectLst/>
            </c:spPr>
          </c:marker>
          <c:dLbls>
            <c:dLbl>
              <c:idx val="0"/>
              <c:tx>
                <c:rich>
                  <a:bodyPr/>
                  <a:lstStyle/>
                  <a:p>
                    <a:fld id="{81C75154-15E7-41FE-B61A-8A9B2D9C41FB}" type="CELLRANGE">
                      <a:rPr lang="en-CA"/>
                      <a:pPr/>
                      <a:t>[CELLRANGE]</a:t>
                    </a:fld>
                    <a:endParaRPr lang="en-CA"/>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1"/>
              <c:tx>
                <c:rich>
                  <a:bodyPr/>
                  <a:lstStyle/>
                  <a:p>
                    <a:fld id="{E1D7991B-5D48-4A71-9FCB-3FC2D6DAFFEA}" type="CELLRANGE">
                      <a:rPr lang="en-CA"/>
                      <a:pPr/>
                      <a:t>[CELLRANGE]</a:t>
                    </a:fld>
                    <a:endParaRPr lang="en-CA"/>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2"/>
              <c:tx>
                <c:rich>
                  <a:bodyPr/>
                  <a:lstStyle/>
                  <a:p>
                    <a:fld id="{32006D5C-78CD-44C4-8118-AB6D68779F5C}" type="CELLRANGE">
                      <a:rPr lang="en-CA"/>
                      <a:pPr/>
                      <a:t>[CELLRANGE]</a:t>
                    </a:fld>
                    <a:endParaRPr lang="en-CA"/>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3"/>
              <c:tx>
                <c:rich>
                  <a:bodyPr/>
                  <a:lstStyle/>
                  <a:p>
                    <a:fld id="{FFC96557-D332-4D2B-999C-3B808D8FE7EA}" type="CELLRANGE">
                      <a:rPr lang="en-CA"/>
                      <a:pPr/>
                      <a:t>[CELLRANGE]</a:t>
                    </a:fld>
                    <a:endParaRPr lang="en-CA"/>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4"/>
              <c:tx>
                <c:rich>
                  <a:bodyPr/>
                  <a:lstStyle/>
                  <a:p>
                    <a:fld id="{368BEE2C-C1B0-4DA1-AE7D-E0E2C8D602E9}" type="CELLRANGE">
                      <a:rPr lang="en-CA"/>
                      <a:pPr/>
                      <a:t>[CELLRANGE]</a:t>
                    </a:fld>
                    <a:endParaRPr lang="en-CA"/>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5"/>
              <c:tx>
                <c:rich>
                  <a:bodyPr/>
                  <a:lstStyle/>
                  <a:p>
                    <a:fld id="{75F5F860-655C-4F53-91F1-A0CF663F34DB}" type="CELLRANGE">
                      <a:rPr lang="en-CA"/>
                      <a:pPr/>
                      <a:t>[CELLRANGE]</a:t>
                    </a:fld>
                    <a:endParaRPr lang="en-CA"/>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6"/>
              <c:tx>
                <c:rich>
                  <a:bodyPr/>
                  <a:lstStyle/>
                  <a:p>
                    <a:fld id="{F0265408-C2D1-4196-A753-16EBFDB96A8C}" type="CELLRANGE">
                      <a:rPr lang="en-CA"/>
                      <a:pPr/>
                      <a:t>[CELLRANGE]</a:t>
                    </a:fld>
                    <a:endParaRPr lang="en-CA"/>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7"/>
              <c:tx>
                <c:rich>
                  <a:bodyPr/>
                  <a:lstStyle/>
                  <a:p>
                    <a:fld id="{EA4ABA17-D391-4734-AF50-FE8DAE98339C}" type="CELLRANGE">
                      <a:rPr lang="en-CA"/>
                      <a:pPr/>
                      <a:t>[CELLRANGE]</a:t>
                    </a:fld>
                    <a:endParaRPr lang="en-CA"/>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8"/>
              <c:tx>
                <c:rich>
                  <a:bodyPr/>
                  <a:lstStyle/>
                  <a:p>
                    <a:fld id="{F6813724-98D4-4F1C-BED0-80EC549087BC}" type="CELLRANGE">
                      <a:rPr lang="en-CA"/>
                      <a:pPr/>
                      <a:t>[CELLRANGE]</a:t>
                    </a:fld>
                    <a:endParaRPr lang="en-CA"/>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9"/>
              <c:tx>
                <c:rich>
                  <a:bodyPr/>
                  <a:lstStyle/>
                  <a:p>
                    <a:fld id="{AE8472A1-78CF-4115-8DEC-62F5578D7315}" type="CELLRANGE">
                      <a:rPr lang="en-CA"/>
                      <a:pPr/>
                      <a:t>[CELLRANGE]</a:t>
                    </a:fld>
                    <a:endParaRPr lang="en-CA"/>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10"/>
              <c:tx>
                <c:rich>
                  <a:bodyPr/>
                  <a:lstStyle/>
                  <a:p>
                    <a:fld id="{D9B89917-CEED-46D4-989F-D954F9ACA205}" type="CELLRANGE">
                      <a:rPr lang="en-CA"/>
                      <a:pPr/>
                      <a:t>[CELLRANGE]</a:t>
                    </a:fld>
                    <a:endParaRPr lang="en-CA"/>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dLbl>
              <c:idx val="11"/>
              <c:tx>
                <c:rich>
                  <a:bodyPr/>
                  <a:lstStyle/>
                  <a:p>
                    <a:fld id="{FE62476A-6224-477A-AFB8-1F63AAF4B564}" type="CELLRANGE">
                      <a:rPr lang="en-CA"/>
                      <a:pPr/>
                      <a:t>[CELLRANGE]</a:t>
                    </a:fld>
                    <a:endParaRPr lang="en-CA"/>
                  </a:p>
                </c:rich>
              </c:tx>
              <c:dLblPos val="t"/>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en-US"/>
              </a:p>
            </c:txPr>
            <c:dLblPos val="t"/>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calc!$Q$22:$Q$33</c:f>
              <c:numCache>
                <c:formatCode>General</c:formatCode>
                <c:ptCount val="12"/>
                <c:pt idx="0">
                  <c:v>2</c:v>
                </c:pt>
                <c:pt idx="1">
                  <c:v>3</c:v>
                </c:pt>
                <c:pt idx="2">
                  <c:v>4</c:v>
                </c:pt>
                <c:pt idx="3">
                  <c:v>5</c:v>
                </c:pt>
                <c:pt idx="4">
                  <c:v>6</c:v>
                </c:pt>
                <c:pt idx="5">
                  <c:v>7</c:v>
                </c:pt>
                <c:pt idx="6">
                  <c:v>8</c:v>
                </c:pt>
                <c:pt idx="7">
                  <c:v>9</c:v>
                </c:pt>
                <c:pt idx="8">
                  <c:v>10</c:v>
                </c:pt>
                <c:pt idx="9">
                  <c:v>11</c:v>
                </c:pt>
                <c:pt idx="10">
                  <c:v>12</c:v>
                </c:pt>
                <c:pt idx="11">
                  <c:v>13</c:v>
                </c:pt>
              </c:numCache>
            </c:numRef>
          </c:cat>
          <c:val>
            <c:numRef>
              <c:f>calc!$R$22:$R$33</c:f>
              <c:numCache>
                <c:formatCode>0.00</c:formatCode>
                <c:ptCount val="12"/>
                <c:pt idx="0">
                  <c:v>8.4677043825704104</c:v>
                </c:pt>
                <c:pt idx="1">
                  <c:v>7.994719428873136</c:v>
                </c:pt>
                <c:pt idx="2">
                  <c:v>7.615020526457311</c:v>
                </c:pt>
                <c:pt idx="3">
                  <c:v>7.9679928998630611</c:v>
                </c:pt>
                <c:pt idx="4">
                  <c:v>6.8278161063770142</c:v>
                </c:pt>
                <c:pt idx="5">
                  <c:v>6.3563526241034811</c:v>
                </c:pt>
                <c:pt idx="6">
                  <c:v>6.7825712824962068</c:v>
                </c:pt>
                <c:pt idx="7">
                  <c:v>7.1982512894710275</c:v>
                </c:pt>
                <c:pt idx="8">
                  <c:v>6.0929823452348568</c:v>
                </c:pt>
                <c:pt idx="9">
                  <c:v>4.4223522301487934</c:v>
                </c:pt>
                <c:pt idx="10">
                  <c:v>4.0932789198127928</c:v>
                </c:pt>
                <c:pt idx="11">
                  <c:v>4.2879629371518977</c:v>
                </c:pt>
              </c:numCache>
            </c:numRef>
          </c:val>
          <c:smooth val="0"/>
          <c:extLst>
            <c:ext xmlns:c15="http://schemas.microsoft.com/office/drawing/2012/chart" uri="{02D57815-91ED-43cb-92C2-25804820EDAC}">
              <c15:datalabelsRange>
                <c15:f>calc!$T$37:$T$51</c15:f>
                <c15:dlblRangeCache>
                  <c:ptCount val="15"/>
                  <c:pt idx="0">
                    <c:v>SITEL LLC/SITEL FIN CORP</c:v>
                  </c:pt>
                  <c:pt idx="1">
                    <c:v>SUN PRODUCTS CORP</c:v>
                  </c:pt>
                  <c:pt idx="2">
                    <c:v>ARMORED AUTOGROUP INC</c:v>
                  </c:pt>
                  <c:pt idx="3">
                    <c:v>DYNCORP INTERNTL INC</c:v>
                  </c:pt>
                  <c:pt idx="4">
                    <c:v>DYNCORP INTERNTL INC</c:v>
                  </c:pt>
                  <c:pt idx="5">
                    <c:v>21ST CENTURY 0NCOLOGY</c:v>
                  </c:pt>
                  <c:pt idx="6">
                    <c:v>CONS CNT CO/CONS CNT CAP</c:v>
                  </c:pt>
                  <c:pt idx="7">
                    <c:v>ABE INV HLDG/GETTY IMAGE</c:v>
                  </c:pt>
                  <c:pt idx="8">
                    <c:v>QUIKSILVER INC/QS WHOLES</c:v>
                  </c:pt>
                  <c:pt idx="9">
                    <c:v>GUITAR CENTER INC</c:v>
                  </c:pt>
                  <c:pt idx="10">
                    <c:v>BEAZER HOMES USA</c:v>
                  </c:pt>
                  <c:pt idx="11">
                    <c:v>NINE WEST HOLDINGS INC</c:v>
                  </c:pt>
                  <c:pt idx="12">
                    <c:v>INVENTIV HEALTH INC</c:v>
                  </c:pt>
                </c15:dlblRangeCache>
              </c15:datalabelsRange>
            </c:ext>
          </c:extLst>
        </c:ser>
        <c:dLbls>
          <c:showLegendKey val="0"/>
          <c:showVal val="0"/>
          <c:showCatName val="0"/>
          <c:showSerName val="0"/>
          <c:showPercent val="0"/>
          <c:showBubbleSize val="0"/>
        </c:dLbls>
        <c:marker val="1"/>
        <c:smooth val="0"/>
        <c:axId val="410573936"/>
        <c:axId val="409350472"/>
      </c:lineChart>
      <c:catAx>
        <c:axId val="410573936"/>
        <c:scaling>
          <c:orientation val="minMax"/>
        </c:scaling>
        <c:delete val="0"/>
        <c:axPos val="b"/>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sz="900" b="1"/>
                  <a:t>index</a:t>
                </a:r>
              </a:p>
            </c:rich>
          </c:tx>
          <c:layout>
            <c:manualLayout>
              <c:xMode val="edge"/>
              <c:yMode val="edge"/>
              <c:x val="0.48818262190910344"/>
              <c:y val="0.9044406809484010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09350472"/>
        <c:crosses val="autoZero"/>
        <c:auto val="1"/>
        <c:lblAlgn val="ctr"/>
        <c:lblOffset val="100"/>
        <c:tickLblSkip val="1"/>
        <c:tickMarkSkip val="2"/>
        <c:noMultiLvlLbl val="0"/>
      </c:catAx>
      <c:valAx>
        <c:axId val="409350472"/>
        <c:scaling>
          <c:orientation val="minMax"/>
          <c:min val="3"/>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sz="900" b="1"/>
                  <a:t>residual absolute value</a:t>
                </a:r>
              </a:p>
            </c:rich>
          </c:tx>
          <c:layout>
            <c:manualLayout>
              <c:xMode val="edge"/>
              <c:yMode val="edge"/>
              <c:x val="1.0526315789473684E-2"/>
              <c:y val="0.3251770553820437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105739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DBE3E-DFBD-4ACE-9890-5D76BF0DC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3</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Rybakov</dc:creator>
  <cp:keywords/>
  <dc:description/>
  <cp:lastModifiedBy>Konstantin Rybakov</cp:lastModifiedBy>
  <cp:revision>81</cp:revision>
  <dcterms:created xsi:type="dcterms:W3CDTF">2017-12-11T22:17:00Z</dcterms:created>
  <dcterms:modified xsi:type="dcterms:W3CDTF">2017-12-13T00:32:00Z</dcterms:modified>
</cp:coreProperties>
</file>